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4737" w14:textId="77777777" w:rsidR="003254C5" w:rsidRDefault="003254C5" w:rsidP="00456E99">
      <w:pPr>
        <w:spacing w:after="0" w:line="240" w:lineRule="auto"/>
        <w:outlineLvl w:val="3"/>
        <w:rPr>
          <w:rFonts w:ascii="Segoe UI Light" w:eastAsia="Times New Roman" w:hAnsi="Segoe UI Light" w:cs="Segoe UI Light"/>
          <w:b/>
          <w:bCs/>
          <w:caps/>
          <w:color w:val="000000" w:themeColor="text1"/>
          <w:spacing w:val="27"/>
          <w:lang w:eastAsia="en-CA"/>
        </w:rPr>
      </w:pPr>
    </w:p>
    <w:p w14:paraId="3E18D5A2" w14:textId="77777777" w:rsidR="003254C5" w:rsidRDefault="003254C5" w:rsidP="00456E99">
      <w:pPr>
        <w:spacing w:after="0" w:line="240" w:lineRule="auto"/>
        <w:outlineLvl w:val="3"/>
        <w:rPr>
          <w:rFonts w:ascii="Segoe UI Light" w:eastAsia="Times New Roman" w:hAnsi="Segoe UI Light" w:cs="Segoe UI Light"/>
          <w:b/>
          <w:bCs/>
          <w:caps/>
          <w:color w:val="000000" w:themeColor="text1"/>
          <w:spacing w:val="27"/>
          <w:lang w:eastAsia="en-CA"/>
        </w:rPr>
      </w:pPr>
    </w:p>
    <w:p w14:paraId="59C87AB9" w14:textId="77777777" w:rsidR="003254C5" w:rsidRDefault="001866A7" w:rsidP="001866A7">
      <w:pPr>
        <w:spacing w:after="0" w:line="240" w:lineRule="auto"/>
        <w:jc w:val="center"/>
        <w:outlineLvl w:val="3"/>
        <w:rPr>
          <w:rFonts w:ascii="Segoe UI Light" w:eastAsia="Times New Roman" w:hAnsi="Segoe UI Light" w:cs="Segoe UI Light"/>
          <w:b/>
          <w:bCs/>
          <w:caps/>
          <w:color w:val="000000" w:themeColor="text1"/>
          <w:spacing w:val="27"/>
        </w:rPr>
      </w:pPr>
      <w:r>
        <w:rPr>
          <w:noProof/>
        </w:rPr>
        <w:drawing>
          <wp:inline distT="0" distB="0" distL="0" distR="0" wp14:anchorId="398D9E9E" wp14:editId="090AEF90">
            <wp:extent cx="3098165" cy="1678940"/>
            <wp:effectExtent l="0" t="0" r="0" b="0"/>
            <wp:docPr id="2" name="Picture 2" descr="cid:image003.png@01DB9C99.54F2A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B9C99.54F2A8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98165" cy="1678940"/>
                    </a:xfrm>
                    <a:prstGeom prst="rect">
                      <a:avLst/>
                    </a:prstGeom>
                    <a:noFill/>
                    <a:ln>
                      <a:noFill/>
                    </a:ln>
                  </pic:spPr>
                </pic:pic>
              </a:graphicData>
            </a:graphic>
          </wp:inline>
        </w:drawing>
      </w:r>
    </w:p>
    <w:p w14:paraId="7B18E0FF" w14:textId="77777777" w:rsidR="003254C5" w:rsidRDefault="003254C5" w:rsidP="00456E99">
      <w:pPr>
        <w:spacing w:after="0" w:line="240" w:lineRule="auto"/>
        <w:outlineLvl w:val="3"/>
        <w:rPr>
          <w:rFonts w:ascii="Segoe UI Light" w:eastAsia="Times New Roman" w:hAnsi="Segoe UI Light" w:cs="Segoe UI Light"/>
          <w:b/>
          <w:bCs/>
          <w:caps/>
          <w:color w:val="000000" w:themeColor="text1"/>
          <w:spacing w:val="27"/>
          <w:lang w:eastAsia="en-CA"/>
        </w:rPr>
      </w:pPr>
    </w:p>
    <w:p w14:paraId="047C9605" w14:textId="77777777" w:rsidR="003254C5" w:rsidRDefault="003254C5" w:rsidP="00456E99">
      <w:pPr>
        <w:spacing w:after="0" w:line="240" w:lineRule="auto"/>
        <w:outlineLvl w:val="3"/>
        <w:rPr>
          <w:rFonts w:ascii="Segoe UI Light" w:eastAsia="Times New Roman" w:hAnsi="Segoe UI Light" w:cs="Segoe UI Light"/>
          <w:b/>
          <w:bCs/>
          <w:caps/>
          <w:color w:val="000000" w:themeColor="text1"/>
          <w:spacing w:val="27"/>
          <w:lang w:eastAsia="en-CA"/>
        </w:rPr>
      </w:pPr>
    </w:p>
    <w:p w14:paraId="3A93E933" w14:textId="77777777" w:rsidR="003254C5" w:rsidRDefault="003254C5" w:rsidP="00456E99">
      <w:pPr>
        <w:spacing w:after="0" w:line="240" w:lineRule="auto"/>
        <w:outlineLvl w:val="3"/>
        <w:rPr>
          <w:rFonts w:ascii="Segoe UI Light" w:eastAsia="Times New Roman" w:hAnsi="Segoe UI Light" w:cs="Segoe UI Light"/>
          <w:b/>
          <w:bCs/>
          <w:caps/>
          <w:color w:val="000000" w:themeColor="text1"/>
          <w:spacing w:val="27"/>
          <w:lang w:eastAsia="en-CA"/>
        </w:rPr>
      </w:pPr>
    </w:p>
    <w:p w14:paraId="576629E2" w14:textId="77777777" w:rsidR="003254C5" w:rsidRDefault="003254C5" w:rsidP="000F2428">
      <w:pPr>
        <w:spacing w:after="0" w:line="240" w:lineRule="auto"/>
        <w:jc w:val="center"/>
        <w:outlineLvl w:val="3"/>
        <w:rPr>
          <w:rFonts w:ascii="Segoe UI Light" w:eastAsia="Times New Roman" w:hAnsi="Segoe UI Light" w:cs="Segoe UI Light"/>
          <w:b/>
          <w:bCs/>
          <w:caps/>
          <w:color w:val="000000" w:themeColor="text1"/>
          <w:spacing w:val="27"/>
          <w:lang w:eastAsia="en-CA"/>
        </w:rPr>
      </w:pPr>
    </w:p>
    <w:p w14:paraId="0561B393" w14:textId="1BAD69A4" w:rsidR="003254C5" w:rsidRPr="000F2428" w:rsidRDefault="00B13A7E" w:rsidP="000F2428">
      <w:pPr>
        <w:spacing w:after="0" w:line="240" w:lineRule="auto"/>
        <w:ind w:left="3600"/>
        <w:jc w:val="center"/>
        <w:outlineLvl w:val="3"/>
        <w:rPr>
          <w:rFonts w:ascii="Segoe UI Light" w:eastAsia="Times New Roman" w:hAnsi="Segoe UI Light" w:cs="Segoe UI Light"/>
          <w:b/>
          <w:bCs/>
          <w:caps/>
          <w:color w:val="000000" w:themeColor="text1"/>
          <w:spacing w:val="27"/>
          <w:sz w:val="72"/>
          <w:szCs w:val="72"/>
        </w:rPr>
      </w:pPr>
      <w:r>
        <w:rPr>
          <w:rFonts w:ascii="Segoe UI Light" w:hAnsi="Segoe UI Light"/>
          <w:b/>
          <w:bCs/>
          <w:caps/>
          <w:color w:val="000000" w:themeColor="text1"/>
          <w:sz w:val="72"/>
          <w:szCs w:val="72"/>
        </w:rPr>
        <w:t>RAPPORT DE 202</w:t>
      </w:r>
      <w:r w:rsidR="00244971">
        <w:rPr>
          <w:rFonts w:ascii="Segoe UI Light" w:hAnsi="Segoe UI Light"/>
          <w:b/>
          <w:bCs/>
          <w:caps/>
          <w:color w:val="000000" w:themeColor="text1"/>
          <w:sz w:val="72"/>
          <w:szCs w:val="72"/>
        </w:rPr>
        <w:t>6</w:t>
      </w:r>
      <w:r>
        <w:rPr>
          <w:rFonts w:ascii="Segoe UI Light" w:hAnsi="Segoe UI Light"/>
          <w:b/>
          <w:bCs/>
          <w:caps/>
          <w:color w:val="000000" w:themeColor="text1"/>
          <w:sz w:val="72"/>
          <w:szCs w:val="72"/>
        </w:rPr>
        <w:t xml:space="preserve"> SUR LE TRAVAIL FORCÉ ET LE TRAVAIL DES ENFANTS</w:t>
      </w:r>
    </w:p>
    <w:p w14:paraId="1032B42B" w14:textId="286DA4B4" w:rsidR="000F2428" w:rsidRDefault="000F2428" w:rsidP="004816D1">
      <w:pPr>
        <w:spacing w:after="0" w:line="240" w:lineRule="auto"/>
        <w:ind w:left="3600"/>
        <w:outlineLvl w:val="3"/>
        <w:rPr>
          <w:rFonts w:ascii="Segoe UI Light" w:eastAsia="Times New Roman" w:hAnsi="Segoe UI Light" w:cs="Segoe UI Light"/>
          <w:b/>
          <w:bCs/>
          <w:caps/>
          <w:color w:val="000000" w:themeColor="text1"/>
          <w:spacing w:val="27"/>
          <w:sz w:val="40"/>
          <w:szCs w:val="40"/>
          <w:lang w:eastAsia="en-CA"/>
        </w:rPr>
      </w:pPr>
    </w:p>
    <w:p w14:paraId="11545DB8" w14:textId="6C9C0487" w:rsidR="000756E4" w:rsidRDefault="000756E4" w:rsidP="004816D1">
      <w:pPr>
        <w:spacing w:after="0" w:line="240" w:lineRule="auto"/>
        <w:ind w:left="3600"/>
        <w:outlineLvl w:val="3"/>
        <w:rPr>
          <w:rFonts w:ascii="Segoe UI Light" w:eastAsia="Times New Roman" w:hAnsi="Segoe UI Light" w:cs="Segoe UI Light"/>
          <w:b/>
          <w:bCs/>
          <w:caps/>
          <w:color w:val="000000" w:themeColor="text1"/>
          <w:spacing w:val="27"/>
          <w:sz w:val="40"/>
          <w:szCs w:val="40"/>
          <w:lang w:eastAsia="en-CA"/>
        </w:rPr>
      </w:pPr>
    </w:p>
    <w:p w14:paraId="3866A116" w14:textId="543E8E26" w:rsidR="000756E4" w:rsidRDefault="000756E4" w:rsidP="004816D1">
      <w:pPr>
        <w:spacing w:after="0" w:line="240" w:lineRule="auto"/>
        <w:ind w:left="3600"/>
        <w:outlineLvl w:val="3"/>
        <w:rPr>
          <w:rFonts w:ascii="Segoe UI Light" w:eastAsia="Times New Roman" w:hAnsi="Segoe UI Light" w:cs="Segoe UI Light"/>
          <w:b/>
          <w:bCs/>
          <w:caps/>
          <w:color w:val="000000" w:themeColor="text1"/>
          <w:spacing w:val="27"/>
          <w:sz w:val="40"/>
          <w:szCs w:val="40"/>
          <w:lang w:eastAsia="en-CA"/>
        </w:rPr>
      </w:pPr>
    </w:p>
    <w:p w14:paraId="7EE03ABE" w14:textId="7B3A7D49" w:rsidR="000756E4" w:rsidRDefault="000756E4" w:rsidP="004816D1">
      <w:pPr>
        <w:spacing w:after="0" w:line="240" w:lineRule="auto"/>
        <w:ind w:left="3600"/>
        <w:outlineLvl w:val="3"/>
        <w:rPr>
          <w:rFonts w:ascii="Segoe UI Light" w:eastAsia="Times New Roman" w:hAnsi="Segoe UI Light" w:cs="Segoe UI Light"/>
          <w:b/>
          <w:bCs/>
          <w:caps/>
          <w:color w:val="000000" w:themeColor="text1"/>
          <w:spacing w:val="27"/>
          <w:sz w:val="40"/>
          <w:szCs w:val="40"/>
          <w:lang w:eastAsia="en-CA"/>
        </w:rPr>
      </w:pPr>
    </w:p>
    <w:p w14:paraId="0DE559E0" w14:textId="32B59FB2" w:rsidR="000756E4" w:rsidRDefault="000756E4" w:rsidP="004816D1">
      <w:pPr>
        <w:spacing w:after="0" w:line="240" w:lineRule="auto"/>
        <w:ind w:left="3600"/>
        <w:outlineLvl w:val="3"/>
        <w:rPr>
          <w:rFonts w:ascii="Segoe UI Light" w:eastAsia="Times New Roman" w:hAnsi="Segoe UI Light" w:cs="Segoe UI Light"/>
          <w:b/>
          <w:bCs/>
          <w:caps/>
          <w:color w:val="000000" w:themeColor="text1"/>
          <w:spacing w:val="27"/>
          <w:sz w:val="40"/>
          <w:szCs w:val="40"/>
          <w:lang w:eastAsia="en-CA"/>
        </w:rPr>
      </w:pPr>
    </w:p>
    <w:p w14:paraId="7CBC47C7" w14:textId="5E1A8E82" w:rsidR="000756E4" w:rsidRDefault="000756E4" w:rsidP="004816D1">
      <w:pPr>
        <w:spacing w:after="0" w:line="240" w:lineRule="auto"/>
        <w:ind w:left="3600"/>
        <w:outlineLvl w:val="3"/>
        <w:rPr>
          <w:rFonts w:ascii="Segoe UI Light" w:eastAsia="Times New Roman" w:hAnsi="Segoe UI Light" w:cs="Segoe UI Light"/>
          <w:b/>
          <w:bCs/>
          <w:caps/>
          <w:color w:val="000000" w:themeColor="text1"/>
          <w:spacing w:val="27"/>
          <w:sz w:val="40"/>
          <w:szCs w:val="40"/>
          <w:lang w:eastAsia="en-CA"/>
        </w:rPr>
      </w:pPr>
    </w:p>
    <w:p w14:paraId="3BD9FCC0" w14:textId="77777777" w:rsidR="000756E4" w:rsidRPr="004816D1" w:rsidRDefault="000756E4" w:rsidP="004816D1">
      <w:pPr>
        <w:spacing w:after="0" w:line="240" w:lineRule="auto"/>
        <w:ind w:left="3600"/>
        <w:outlineLvl w:val="3"/>
        <w:rPr>
          <w:rFonts w:ascii="Segoe UI Light" w:eastAsia="Times New Roman" w:hAnsi="Segoe UI Light" w:cs="Segoe UI Light"/>
          <w:b/>
          <w:bCs/>
          <w:caps/>
          <w:color w:val="000000" w:themeColor="text1"/>
          <w:spacing w:val="27"/>
          <w:sz w:val="40"/>
          <w:szCs w:val="40"/>
          <w:lang w:eastAsia="en-CA"/>
        </w:rPr>
      </w:pPr>
    </w:p>
    <w:p w14:paraId="01259AF7" w14:textId="77777777" w:rsidR="004816D1" w:rsidRDefault="004816D1" w:rsidP="00456E99">
      <w:pPr>
        <w:spacing w:after="0" w:line="240" w:lineRule="auto"/>
        <w:outlineLvl w:val="3"/>
        <w:rPr>
          <w:rFonts w:ascii="Segoe UI Light" w:eastAsia="Times New Roman" w:hAnsi="Segoe UI Light" w:cs="Segoe UI Light"/>
          <w:b/>
          <w:bCs/>
          <w:caps/>
          <w:color w:val="000000" w:themeColor="text1"/>
          <w:spacing w:val="27"/>
          <w:lang w:eastAsia="en-CA"/>
        </w:rPr>
      </w:pPr>
    </w:p>
    <w:p w14:paraId="57F173A0" w14:textId="77777777" w:rsidR="00B13A7E" w:rsidRPr="005F7C92" w:rsidRDefault="003254C5" w:rsidP="00456E99">
      <w:pPr>
        <w:spacing w:after="0" w:line="240" w:lineRule="auto"/>
        <w:outlineLvl w:val="3"/>
        <w:rPr>
          <w:rFonts w:ascii="Segoe UI Light" w:eastAsia="Times New Roman" w:hAnsi="Segoe UI Light" w:cs="Segoe UI Light"/>
          <w:b/>
          <w:bCs/>
          <w:caps/>
          <w:color w:val="000000" w:themeColor="text1"/>
          <w:spacing w:val="63"/>
        </w:rPr>
      </w:pPr>
      <w:r>
        <w:rPr>
          <w:rFonts w:ascii="Segoe UI Light" w:hAnsi="Segoe UI Light"/>
          <w:b/>
          <w:bCs/>
          <w:caps/>
          <w:color w:val="000000" w:themeColor="text1"/>
        </w:rPr>
        <w:t>Introduction, structure de l’entreprise et activités commerciales</w:t>
      </w:r>
    </w:p>
    <w:p w14:paraId="64EDB650" w14:textId="48237F4E" w:rsidR="00B13A7E" w:rsidRPr="005F7C92" w:rsidRDefault="00B13A7E" w:rsidP="00105E25">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 xml:space="preserve">Le présent rapport est rédigé conformément à la </w:t>
      </w:r>
      <w:r>
        <w:rPr>
          <w:rFonts w:ascii="Segoe UI Light" w:hAnsi="Segoe UI Light"/>
          <w:i/>
          <w:iCs/>
          <w:color w:val="000000" w:themeColor="text1"/>
        </w:rPr>
        <w:t>Loi sur la lutte contre le travail forcé et le travail des enfants dans les chaînes d’approvisionnement</w:t>
      </w:r>
      <w:r>
        <w:rPr>
          <w:rFonts w:ascii="Segoe UI Light" w:hAnsi="Segoe UI Light"/>
          <w:color w:val="000000" w:themeColor="text1"/>
        </w:rPr>
        <w:t xml:space="preserve"> du Canada par Le Groupe Rideau Inc. (« Rideau</w:t>
      </w:r>
      <w:r w:rsidR="009A28EC">
        <w:rPr>
          <w:rFonts w:ascii="Segoe UI Light" w:hAnsi="Segoe UI Light"/>
          <w:color w:val="000000" w:themeColor="text1"/>
        </w:rPr>
        <w:t> </w:t>
      </w:r>
      <w:r>
        <w:rPr>
          <w:rFonts w:ascii="Segoe UI Light" w:hAnsi="Segoe UI Light"/>
          <w:color w:val="000000" w:themeColor="text1"/>
        </w:rPr>
        <w:t>Supply » ou « Rideau »), une société constituée en 1975 en vertu des lois de l’Ontario.</w:t>
      </w:r>
    </w:p>
    <w:p w14:paraId="0E77F834" w14:textId="77777777" w:rsidR="00B13A7E" w:rsidRPr="003C46C9" w:rsidRDefault="00B13A7E" w:rsidP="00105E25">
      <w:pPr>
        <w:spacing w:after="0" w:line="240" w:lineRule="auto"/>
        <w:rPr>
          <w:rFonts w:ascii="Segoe UI Light" w:eastAsia="Times New Roman" w:hAnsi="Segoe UI Light" w:cs="Segoe UI Light"/>
          <w:color w:val="000000" w:themeColor="text1"/>
          <w:lang w:eastAsia="en-CA"/>
        </w:rPr>
      </w:pPr>
    </w:p>
    <w:p w14:paraId="2B798DE7" w14:textId="79BE3A75" w:rsidR="00B13A7E" w:rsidRPr="005F7C92" w:rsidRDefault="00B13A7E" w:rsidP="00105E25">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Le présent rapport a été préparé pour l’exercice clos le 28 février </w:t>
      </w:r>
      <w:r w:rsidR="00244971">
        <w:rPr>
          <w:rFonts w:ascii="Segoe UI Light" w:hAnsi="Segoe UI Light"/>
          <w:color w:val="000000" w:themeColor="text1"/>
        </w:rPr>
        <w:t>2026</w:t>
      </w:r>
      <w:r>
        <w:rPr>
          <w:rFonts w:ascii="Segoe UI Light" w:hAnsi="Segoe UI Light"/>
          <w:color w:val="000000" w:themeColor="text1"/>
        </w:rPr>
        <w:t>.</w:t>
      </w:r>
    </w:p>
    <w:p w14:paraId="7145946E" w14:textId="77777777" w:rsidR="00105E25" w:rsidRPr="003C46C9" w:rsidRDefault="00105E25" w:rsidP="00105E25">
      <w:pPr>
        <w:spacing w:after="0" w:line="240" w:lineRule="auto"/>
        <w:rPr>
          <w:rFonts w:ascii="Segoe UI Light" w:hAnsi="Segoe UI Light" w:cs="Segoe UI Light"/>
          <w:color w:val="000000" w:themeColor="text1"/>
        </w:rPr>
      </w:pPr>
    </w:p>
    <w:p w14:paraId="155C4509" w14:textId="77777777" w:rsidR="00FA21A0" w:rsidRPr="003C46C9" w:rsidRDefault="0024617A" w:rsidP="00105E25">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Rideau Supply est une entreprise privée qui se spécialise dans la vente en gros et la distribution de produits tels que des pompes et des réservoirs, des équipements de traitement de l’eau, de fosses septiques, de plomberie, de chauffage et de forage.  Nous avons plusieurs sites en Ontario et en Nouvelle-Écosse.  Nous sommes fiers de fournir des produits de qualité et d’offrir un excellent service après-vente.  Nous nous engageons à nous améliorer continuellement, à satisfaire la clientèle et à respecter les normes les plus élevées en matière d’éthique et de responsabilité sociale dans tous les aspects de nos activités.</w:t>
      </w:r>
    </w:p>
    <w:p w14:paraId="0FD13487" w14:textId="77777777" w:rsidR="00E547DF" w:rsidRPr="003C46C9" w:rsidRDefault="00E547DF" w:rsidP="00105E25">
      <w:pPr>
        <w:spacing w:after="0" w:line="240" w:lineRule="auto"/>
        <w:rPr>
          <w:rFonts w:ascii="Segoe UI Light" w:hAnsi="Segoe UI Light" w:cs="Segoe UI Light"/>
          <w:color w:val="000000" w:themeColor="text1"/>
        </w:rPr>
      </w:pPr>
    </w:p>
    <w:p w14:paraId="67D8D2BE" w14:textId="77777777" w:rsidR="00102980" w:rsidRDefault="00102980" w:rsidP="00102980">
      <w:pPr>
        <w:spacing w:after="0" w:line="240" w:lineRule="auto"/>
        <w:outlineLvl w:val="3"/>
        <w:rPr>
          <w:rFonts w:ascii="Segoe UI Light" w:eastAsia="Times New Roman" w:hAnsi="Segoe UI Light" w:cs="Segoe UI Light"/>
          <w:b/>
          <w:bCs/>
          <w:caps/>
          <w:color w:val="000000" w:themeColor="text1"/>
          <w:spacing w:val="27"/>
        </w:rPr>
      </w:pPr>
      <w:r>
        <w:rPr>
          <w:rFonts w:ascii="Segoe UI Light" w:hAnsi="Segoe UI Light"/>
          <w:b/>
          <w:bCs/>
          <w:caps/>
          <w:color w:val="000000" w:themeColor="text1"/>
        </w:rPr>
        <w:t>RISQUE DE TRAVAIL FORCÉ OU DE TRAVAIL DES ENFANTS DANS NOTRE CHAÎNE D’APPROVISIONNEMENT</w:t>
      </w:r>
    </w:p>
    <w:p w14:paraId="0419A99B" w14:textId="77777777" w:rsidR="00054B4A" w:rsidRPr="0076417B" w:rsidRDefault="00AF36DB" w:rsidP="00054B4A">
      <w:pPr>
        <w:spacing w:after="0"/>
        <w:rPr>
          <w:rFonts w:ascii="Segoe UI Light" w:eastAsia="Times New Roman" w:hAnsi="Segoe UI Light" w:cs="Segoe UI Light"/>
          <w:color w:val="000000" w:themeColor="text1"/>
        </w:rPr>
      </w:pPr>
      <w:r>
        <w:rPr>
          <w:rFonts w:ascii="Segoe UI Light" w:hAnsi="Segoe UI Light"/>
          <w:color w:val="000000" w:themeColor="text1"/>
        </w:rPr>
        <w:t>Rideau interdit sans équivoque toute forme de travail forcé ou de travail des enfants dans son organisation et sa chaîne d’approvisionnement; et s’engage à soutenir l’approvisionnement responsable de ses matériaux auprès de fournisseurs qui partagent nos valeurs en matière de droits de la personne et d’éthique.</w:t>
      </w:r>
    </w:p>
    <w:p w14:paraId="678C45F8" w14:textId="77777777" w:rsidR="00456E99" w:rsidRDefault="004B7441" w:rsidP="00D67D21">
      <w:pPr>
        <w:pStyle w:val="NormalWeb"/>
        <w:rPr>
          <w:rFonts w:ascii="Segoe UI Light" w:hAnsi="Segoe UI Light" w:cs="Segoe UI Light"/>
          <w:color w:val="000000" w:themeColor="text1"/>
          <w:sz w:val="22"/>
          <w:szCs w:val="22"/>
        </w:rPr>
      </w:pPr>
      <w:r>
        <w:rPr>
          <w:rFonts w:ascii="Segoe UI Light" w:hAnsi="Segoe UI Light"/>
          <w:color w:val="000000" w:themeColor="text1"/>
          <w:sz w:val="22"/>
          <w:szCs w:val="22"/>
        </w:rPr>
        <w:t xml:space="preserve">Nous attendons de nos fournisseurs qu’ils offrent un environnement de travail sécuritaire, qu’ils n’auront pas recours au travail forcé, servile ou obligatoire, que nos employés aient la liberté de quitter leur emploi après un préavis raisonnable et que nos fournisseurs n’aient pas recours au travail des enfants. </w:t>
      </w:r>
    </w:p>
    <w:p w14:paraId="0B6530CF" w14:textId="77777777" w:rsidR="00475EFD" w:rsidRDefault="009937F0" w:rsidP="009937F0">
      <w:pPr>
        <w:pStyle w:val="NormalWeb"/>
        <w:rPr>
          <w:rFonts w:ascii="Segoe UI Light" w:hAnsi="Segoe UI Light" w:cs="Segoe UI Light"/>
          <w:color w:val="000000" w:themeColor="text1"/>
          <w:sz w:val="22"/>
          <w:szCs w:val="22"/>
        </w:rPr>
      </w:pPr>
      <w:r>
        <w:rPr>
          <w:rFonts w:ascii="Segoe UI Light" w:hAnsi="Segoe UI Light"/>
          <w:color w:val="000000" w:themeColor="text1"/>
          <w:sz w:val="22"/>
          <w:szCs w:val="22"/>
        </w:rPr>
        <w:t xml:space="preserve">Comme pour de nombreuses entreprises, des risques dans notre chaîne d’approvisionnement peuvent survenir en raison de notre visibilité limitée sur les chaînes d’approvisionnement de nos propres fournisseurs.  L’exposition de Rideau aux risques liés au travail forcé et au travail des enfants est considérée comme faible, puisque 99,2 % des produits sont achetés auprès de fournisseurs situés au Canada et aux États-Unis. </w:t>
      </w:r>
    </w:p>
    <w:p w14:paraId="440E3663" w14:textId="77777777" w:rsidR="00B62B75" w:rsidRPr="003C46C9" w:rsidRDefault="00DB3372" w:rsidP="00105E25">
      <w:pPr>
        <w:spacing w:after="0" w:line="240" w:lineRule="auto"/>
        <w:rPr>
          <w:rFonts w:ascii="Segoe UI Light" w:eastAsia="Times New Roman" w:hAnsi="Segoe UI Light" w:cs="Segoe UI Light"/>
          <w:color w:val="000000" w:themeColor="text1"/>
        </w:rPr>
      </w:pPr>
      <w:r>
        <w:rPr>
          <w:noProof/>
        </w:rPr>
        <w:lastRenderedPageBreak/>
        <w:drawing>
          <wp:inline distT="0" distB="0" distL="0" distR="0" wp14:anchorId="03952AD4" wp14:editId="0C98AD62">
            <wp:extent cx="6181726" cy="3609975"/>
            <wp:effectExtent l="0" t="0" r="0" b="0"/>
            <wp:docPr id="1" name="Chart 1">
              <a:extLst xmlns:a="http://schemas.openxmlformats.org/drawingml/2006/main">
                <a:ext uri="{FF2B5EF4-FFF2-40B4-BE49-F238E27FC236}">
                  <a16:creationId xmlns:a16="http://schemas.microsoft.com/office/drawing/2014/main" id="{CCA6FB30-4A89-4266-BE81-13C5643E05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494EDA" w14:textId="77777777" w:rsidR="00B62B75" w:rsidRPr="003C46C9" w:rsidRDefault="00B62B75" w:rsidP="00105E25">
      <w:pPr>
        <w:spacing w:after="0" w:line="240" w:lineRule="auto"/>
        <w:rPr>
          <w:rFonts w:ascii="Segoe UI Light" w:eastAsia="Times New Roman" w:hAnsi="Segoe UI Light" w:cs="Segoe UI Light"/>
          <w:i/>
          <w:iCs/>
          <w:color w:val="000000" w:themeColor="text1"/>
          <w:lang w:eastAsia="en-CA"/>
        </w:rPr>
      </w:pPr>
    </w:p>
    <w:p w14:paraId="4762E7B2" w14:textId="77777777" w:rsidR="00475EFD" w:rsidRPr="00475EFD" w:rsidRDefault="004332D0" w:rsidP="00475EFD">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 xml:space="preserve">Nous reconnaissons que notre exposition au travail forcé ou au travail des enfants augmente lorsque nous nous approvisionnons dans des pays où l’exploitation du travail forcé est connue. Par conséquent, cela nécessite une diligence supplémentaire et nous continuerons à cartographier et à évaluer nos chaînes d’approvisionnement actuelles. </w:t>
      </w:r>
    </w:p>
    <w:p w14:paraId="385F8416" w14:textId="77777777" w:rsidR="00690140" w:rsidRPr="00690140" w:rsidRDefault="00690140" w:rsidP="00105E25">
      <w:pPr>
        <w:spacing w:after="0" w:line="240" w:lineRule="auto"/>
        <w:rPr>
          <w:rFonts w:ascii="Segoe UI Light" w:hAnsi="Segoe UI Light" w:cs="Segoe UI Light"/>
          <w:color w:val="000000" w:themeColor="text1"/>
          <w:highlight w:val="yellow"/>
        </w:rPr>
      </w:pPr>
    </w:p>
    <w:p w14:paraId="435B1376" w14:textId="77777777" w:rsidR="009D5D10" w:rsidRPr="00A840D5" w:rsidRDefault="001D604A" w:rsidP="00241375">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Rideau a examiné l’indice mondial de l’esclavage (walkfree.org) en se concentrant sur la géographie.  Rideau a également consulté la liste des biens produits par le travail des enfants ou le travail forcé (Dol.gov) du département du Travail des États-Unis et a comparé les biens répertoriés aux produits achetés.</w:t>
      </w:r>
    </w:p>
    <w:p w14:paraId="18067D0C" w14:textId="77777777" w:rsidR="00BE7B56" w:rsidRDefault="00BE7B56" w:rsidP="00DD3526">
      <w:pPr>
        <w:spacing w:after="0" w:line="240" w:lineRule="auto"/>
        <w:rPr>
          <w:rFonts w:ascii="Segoe UI Light" w:eastAsia="Times New Roman" w:hAnsi="Segoe UI Light" w:cs="Segoe UI Light"/>
          <w:color w:val="000000" w:themeColor="text1"/>
          <w:lang w:eastAsia="en-CA"/>
        </w:rPr>
      </w:pPr>
    </w:p>
    <w:p w14:paraId="4BF7ED68" w14:textId="77777777" w:rsidR="00BA5727" w:rsidRPr="003C46C9" w:rsidRDefault="00BA5727" w:rsidP="00105E25">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 xml:space="preserve">Nous n’avons connaissance d’aucun cas de travail forcé ou de travail des enfants dans nos chaînes d’approvisionnement, et notre évaluation des risques suggère que le niveau de risque de travail forcé ou de travail des enfants dans nos chaînes d’approvisionnement est faible.  </w:t>
      </w:r>
    </w:p>
    <w:p w14:paraId="015B8388" w14:textId="77777777" w:rsidR="00094826" w:rsidRPr="003C46C9" w:rsidRDefault="00094826" w:rsidP="00105E25">
      <w:pPr>
        <w:spacing w:after="0"/>
        <w:rPr>
          <w:rFonts w:ascii="Segoe UI Light" w:eastAsia="Times New Roman" w:hAnsi="Segoe UI Light" w:cs="Segoe UI Light"/>
          <w:color w:val="000000" w:themeColor="text1"/>
          <w:lang w:eastAsia="en-CA"/>
        </w:rPr>
      </w:pPr>
    </w:p>
    <w:p w14:paraId="2ED1963B" w14:textId="77777777" w:rsidR="00EF5E91" w:rsidRDefault="00102980" w:rsidP="00EF5E91">
      <w:pPr>
        <w:pStyle w:val="Heading3"/>
        <w:spacing w:before="0" w:after="0"/>
        <w:rPr>
          <w:rFonts w:ascii="Segoe UI Light" w:eastAsia="Times New Roman" w:hAnsi="Segoe UI Light" w:cs="Segoe UI Light"/>
          <w:b/>
          <w:bCs/>
          <w:caps/>
          <w:color w:val="000000" w:themeColor="text1"/>
          <w:spacing w:val="27"/>
        </w:rPr>
      </w:pPr>
      <w:r>
        <w:rPr>
          <w:rFonts w:ascii="Segoe UI Light" w:hAnsi="Segoe UI Light"/>
          <w:b/>
          <w:bCs/>
          <w:caps/>
          <w:color w:val="000000" w:themeColor="text1"/>
        </w:rPr>
        <w:t>NOS POLITIQUES ET NOTRE PROCESSUS DE DILIGENCE RAISONNABLE</w:t>
      </w:r>
    </w:p>
    <w:p w14:paraId="397D1427" w14:textId="77777777" w:rsidR="003254C5" w:rsidRPr="00BB342D" w:rsidRDefault="003254C5" w:rsidP="003254C5">
      <w:pPr>
        <w:rPr>
          <w:rFonts w:ascii="Segoe UI Light" w:eastAsia="Times New Roman" w:hAnsi="Segoe UI Light" w:cs="Segoe UI Light"/>
        </w:rPr>
      </w:pPr>
      <w:r>
        <w:rPr>
          <w:rFonts w:ascii="Segoe UI Light" w:hAnsi="Segoe UI Light"/>
        </w:rPr>
        <w:t>Rideau a mis en place des politiques et des procédures qui soulignent notre engagement à l’égard de pratiques commerciales éthiques et de conformité aux lois applicables. Ces politiques s’appliquent à tous les employés, dirigeants et fournisseurs, soulignant notre position contre le travail forcé et le travail des enfants.</w:t>
      </w:r>
    </w:p>
    <w:p w14:paraId="0E7ADC6C" w14:textId="77777777" w:rsidR="003254C5" w:rsidRPr="00BB342D" w:rsidRDefault="00BB342D" w:rsidP="003254C5">
      <w:pPr>
        <w:rPr>
          <w:rFonts w:ascii="Segoe UI Light" w:eastAsia="Times New Roman" w:hAnsi="Segoe UI Light" w:cs="Segoe UI Light"/>
        </w:rPr>
      </w:pPr>
      <w:r>
        <w:rPr>
          <w:rFonts w:ascii="Segoe UI Light" w:hAnsi="Segoe UI Light"/>
        </w:rPr>
        <w:t>Nous nous engageons à respecter la législation sur les droits de la personne, notamment en formant nos employés à respecter ces droits et à éliminer le travail des enfants et le travail forcé. Nous surveillons également nos fournisseurs et disposons d’un système pour signaler les violations.</w:t>
      </w:r>
    </w:p>
    <w:p w14:paraId="1A66D887" w14:textId="77777777" w:rsidR="00BE7B56" w:rsidRDefault="001526A8" w:rsidP="000B5DA7">
      <w:pPr>
        <w:rPr>
          <w:rFonts w:ascii="Segoe UI Light" w:eastAsia="Times New Roman" w:hAnsi="Segoe UI Light" w:cs="Segoe UI Light"/>
        </w:rPr>
      </w:pPr>
      <w:r>
        <w:rPr>
          <w:rFonts w:ascii="Segoe UI Light" w:hAnsi="Segoe UI Light"/>
        </w:rPr>
        <w:lastRenderedPageBreak/>
        <w:t xml:space="preserve">Notre processus de diligence </w:t>
      </w:r>
      <w:bookmarkStart w:id="0" w:name="_Hlk166743274"/>
      <w:r>
        <w:rPr>
          <w:rFonts w:ascii="Segoe UI Light" w:hAnsi="Segoe UI Light"/>
        </w:rPr>
        <w:t xml:space="preserve">comprend également les procédures de vérification et d’intégration des fournisseurs, la recherche en ligne, les discussions annuelles avec les principaux fournisseurs, les visites sur place, les références et les rencontres avec le personnel clé lors des salons professionnels. </w:t>
      </w:r>
    </w:p>
    <w:bookmarkEnd w:id="0"/>
    <w:p w14:paraId="768D7CD8" w14:textId="77777777" w:rsidR="00BB342D" w:rsidRDefault="004718D2" w:rsidP="004718D2">
      <w:pPr>
        <w:pStyle w:val="Heading3"/>
        <w:spacing w:before="0" w:after="0"/>
        <w:rPr>
          <w:rFonts w:ascii="Segoe UI Light" w:hAnsi="Segoe UI Light" w:cs="Segoe UI Light"/>
          <w:color w:val="000000" w:themeColor="text1"/>
          <w:sz w:val="22"/>
          <w:szCs w:val="22"/>
        </w:rPr>
      </w:pPr>
      <w:r>
        <w:rPr>
          <w:rFonts w:ascii="Segoe UI Light" w:hAnsi="Segoe UI Light"/>
          <w:color w:val="000000" w:themeColor="text1"/>
          <w:sz w:val="22"/>
          <w:szCs w:val="22"/>
        </w:rPr>
        <w:t xml:space="preserve">L’évaluation externe des risques est réalisée par une </w:t>
      </w:r>
      <w:bookmarkStart w:id="1" w:name="_Hlk166743255"/>
      <w:r>
        <w:rPr>
          <w:rFonts w:ascii="Segoe UI Light" w:hAnsi="Segoe UI Light"/>
          <w:color w:val="000000" w:themeColor="text1"/>
          <w:sz w:val="22"/>
          <w:szCs w:val="22"/>
        </w:rPr>
        <w:t xml:space="preserve">certification annuelle des fournisseurs qui définit leurs obligations et exige de tous qu’ils certifient leur conformité à toutes les lois et règlements applicables. </w:t>
      </w:r>
    </w:p>
    <w:p w14:paraId="2CFB6773" w14:textId="77777777" w:rsidR="00BB342D" w:rsidRDefault="00BB342D" w:rsidP="004718D2">
      <w:pPr>
        <w:pStyle w:val="Heading3"/>
        <w:spacing w:before="0" w:after="0"/>
        <w:rPr>
          <w:rFonts w:ascii="Segoe UI Light" w:hAnsi="Segoe UI Light" w:cs="Segoe UI Light"/>
          <w:color w:val="000000" w:themeColor="text1"/>
          <w:sz w:val="22"/>
          <w:szCs w:val="22"/>
          <w:highlight w:val="yellow"/>
        </w:rPr>
      </w:pPr>
    </w:p>
    <w:p w14:paraId="43BC7FB8" w14:textId="77777777" w:rsidR="004718D2" w:rsidRPr="006E3CE1" w:rsidRDefault="004718D2" w:rsidP="004718D2">
      <w:pPr>
        <w:pStyle w:val="Heading3"/>
        <w:spacing w:before="0" w:after="0"/>
        <w:rPr>
          <w:rFonts w:ascii="Segoe UI Light" w:hAnsi="Segoe UI Light" w:cs="Segoe UI Light"/>
          <w:color w:val="000000" w:themeColor="text1"/>
          <w:sz w:val="22"/>
          <w:szCs w:val="22"/>
        </w:rPr>
      </w:pPr>
      <w:r>
        <w:rPr>
          <w:rFonts w:ascii="Segoe UI Light" w:hAnsi="Segoe UI Light"/>
          <w:color w:val="000000" w:themeColor="text1"/>
          <w:sz w:val="22"/>
          <w:szCs w:val="22"/>
        </w:rPr>
        <w:t xml:space="preserve">La non-conformité peut entraîner la résiliation des contrats ou d’autres mesures appropriées. </w:t>
      </w:r>
      <w:bookmarkEnd w:id="1"/>
    </w:p>
    <w:p w14:paraId="317C80A0" w14:textId="77777777" w:rsidR="004718D2" w:rsidRPr="006E3CE1" w:rsidRDefault="004718D2" w:rsidP="00105E25">
      <w:pPr>
        <w:spacing w:after="0"/>
        <w:rPr>
          <w:rFonts w:ascii="Segoe UI Light" w:eastAsia="Times New Roman" w:hAnsi="Segoe UI Light" w:cs="Segoe UI Light"/>
          <w:lang w:eastAsia="en-CA"/>
        </w:rPr>
      </w:pPr>
    </w:p>
    <w:p w14:paraId="105F383E" w14:textId="77777777" w:rsidR="000B5DA7" w:rsidRPr="006E3CE1" w:rsidRDefault="004718D2" w:rsidP="00105E25">
      <w:pPr>
        <w:spacing w:after="0"/>
        <w:rPr>
          <w:rFonts w:ascii="Segoe UI Light" w:eastAsia="Times New Roman" w:hAnsi="Segoe UI Light" w:cs="Segoe UI Light"/>
        </w:rPr>
      </w:pPr>
      <w:r>
        <w:rPr>
          <w:rFonts w:ascii="Segoe UI Light" w:hAnsi="Segoe UI Light"/>
        </w:rPr>
        <w:t xml:space="preserve">Rideau examine régulièrement ses politiques internes et son interdiction de recours au travail forcé et au travail des enfants, avec la participation de diverses parties prenantes de l’entreprise. </w:t>
      </w:r>
    </w:p>
    <w:p w14:paraId="2FFD6C41" w14:textId="77777777" w:rsidR="0077392E" w:rsidRDefault="0077392E" w:rsidP="00105E25">
      <w:pPr>
        <w:spacing w:after="0"/>
        <w:rPr>
          <w:rFonts w:ascii="Segoe UI Light" w:eastAsia="Times New Roman" w:hAnsi="Segoe UI Light" w:cs="Segoe UI Light"/>
          <w:lang w:eastAsia="en-CA"/>
        </w:rPr>
      </w:pPr>
    </w:p>
    <w:p w14:paraId="282EC944" w14:textId="77777777" w:rsidR="0032115F" w:rsidRPr="005F7C92" w:rsidRDefault="0052487C" w:rsidP="0032115F">
      <w:pPr>
        <w:spacing w:after="0" w:line="240" w:lineRule="auto"/>
        <w:outlineLvl w:val="3"/>
        <w:rPr>
          <w:rFonts w:ascii="Segoe UI Light" w:eastAsia="Times New Roman" w:hAnsi="Segoe UI Light" w:cs="Segoe UI Light"/>
          <w:b/>
          <w:bCs/>
          <w:caps/>
          <w:color w:val="000000" w:themeColor="text1"/>
          <w:spacing w:val="27"/>
        </w:rPr>
      </w:pPr>
      <w:r>
        <w:rPr>
          <w:rFonts w:ascii="Segoe UI Light" w:hAnsi="Segoe UI Light"/>
          <w:b/>
          <w:bCs/>
          <w:caps/>
          <w:color w:val="000000" w:themeColor="text1"/>
        </w:rPr>
        <w:t>MESURES CORRECTIVES</w:t>
      </w:r>
    </w:p>
    <w:p w14:paraId="25EBEC67" w14:textId="4A29E8AC" w:rsidR="00373104" w:rsidRPr="003C46C9" w:rsidRDefault="00373104" w:rsidP="00373104">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En date du 28 février </w:t>
      </w:r>
      <w:r w:rsidR="00244971">
        <w:rPr>
          <w:rFonts w:ascii="Segoe UI Light" w:hAnsi="Segoe UI Light"/>
          <w:color w:val="000000" w:themeColor="text1"/>
        </w:rPr>
        <w:t>2026</w:t>
      </w:r>
      <w:r>
        <w:rPr>
          <w:rFonts w:ascii="Segoe UI Light" w:hAnsi="Segoe UI Light"/>
          <w:color w:val="000000" w:themeColor="text1"/>
        </w:rPr>
        <w:t>, Rideau Supply n’avait pas été confrontée à des situations de travail forcé ou de travail des enfants et n’avait donc pas eu à remédier à de telles situations.</w:t>
      </w:r>
    </w:p>
    <w:p w14:paraId="66D8F5D2" w14:textId="77777777" w:rsidR="00395F48" w:rsidRDefault="00395F48" w:rsidP="00105E25">
      <w:pPr>
        <w:spacing w:after="0"/>
        <w:rPr>
          <w:rFonts w:ascii="Segoe UI Light" w:eastAsia="Times New Roman" w:hAnsi="Segoe UI Light" w:cs="Segoe UI Light"/>
          <w:color w:val="000000" w:themeColor="text1"/>
          <w:lang w:eastAsia="en-CA"/>
        </w:rPr>
      </w:pPr>
    </w:p>
    <w:p w14:paraId="2C5B614B" w14:textId="14D7AB9B" w:rsidR="00D61940" w:rsidRPr="00B83F65" w:rsidRDefault="00BF22A3" w:rsidP="0083717B">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Nous encourageons tous les employés, fournisseurs et parties prenantes à signaler toute préoccupation ou suspicion de travail forcé ou de travail des enfants. Si le recours au travail forcé ou au travail des enfants est détecté dans nos activités ou notre chaîne d’approvisionnement, Rideau</w:t>
      </w:r>
      <w:r w:rsidR="009A28EC">
        <w:rPr>
          <w:rFonts w:ascii="Segoe UI Light" w:hAnsi="Segoe UI Light"/>
          <w:color w:val="000000" w:themeColor="text1"/>
        </w:rPr>
        <w:t> </w:t>
      </w:r>
      <w:r>
        <w:rPr>
          <w:rFonts w:ascii="Segoe UI Light" w:hAnsi="Segoe UI Light"/>
          <w:color w:val="000000" w:themeColor="text1"/>
        </w:rPr>
        <w:t>Supply prendra des mesures correctives immédiates, y compris, mais sans s’y limiter :</w:t>
      </w:r>
    </w:p>
    <w:p w14:paraId="48B03238" w14:textId="77777777" w:rsidR="00D61940" w:rsidRPr="00B83F65" w:rsidRDefault="00D61940" w:rsidP="00D61940">
      <w:pPr>
        <w:pStyle w:val="ListParagraph"/>
        <w:numPr>
          <w:ilvl w:val="0"/>
          <w:numId w:val="15"/>
        </w:num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Mettre fin aux relations avec les fournisseurs non conformes;</w:t>
      </w:r>
    </w:p>
    <w:p w14:paraId="2A835C1F" w14:textId="77777777" w:rsidR="00D61940" w:rsidRPr="00B83F65" w:rsidRDefault="00D61940" w:rsidP="00D61940">
      <w:pPr>
        <w:pStyle w:val="ListParagraph"/>
        <w:numPr>
          <w:ilvl w:val="0"/>
          <w:numId w:val="15"/>
        </w:num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Fournir des mesures correctives aux travailleurs concernés;</w:t>
      </w:r>
    </w:p>
    <w:p w14:paraId="0C71D992" w14:textId="77777777" w:rsidR="00D61940" w:rsidRPr="00B83F65" w:rsidRDefault="00D61940" w:rsidP="00D61940">
      <w:pPr>
        <w:pStyle w:val="ListParagraph"/>
        <w:numPr>
          <w:ilvl w:val="0"/>
          <w:numId w:val="15"/>
        </w:num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 xml:space="preserve">Signaler les violations aux autorités compétentes. </w:t>
      </w:r>
    </w:p>
    <w:p w14:paraId="06B47462" w14:textId="77777777" w:rsidR="004F3261" w:rsidRPr="003C46C9" w:rsidRDefault="004F3261" w:rsidP="00094826">
      <w:pPr>
        <w:spacing w:after="0"/>
        <w:rPr>
          <w:rFonts w:ascii="Segoe UI Light" w:eastAsia="Times New Roman" w:hAnsi="Segoe UI Light" w:cs="Segoe UI Light"/>
          <w:color w:val="000000" w:themeColor="text1"/>
          <w:lang w:eastAsia="en-CA"/>
        </w:rPr>
      </w:pPr>
    </w:p>
    <w:p w14:paraId="53E18BDF" w14:textId="77777777" w:rsidR="00094826" w:rsidRDefault="00094826" w:rsidP="00094826">
      <w:pPr>
        <w:spacing w:after="0" w:line="240" w:lineRule="auto"/>
        <w:outlineLvl w:val="3"/>
        <w:rPr>
          <w:rFonts w:ascii="Segoe UI Light" w:eastAsia="Times New Roman" w:hAnsi="Segoe UI Light" w:cs="Segoe UI Light"/>
          <w:b/>
          <w:bCs/>
          <w:caps/>
          <w:color w:val="000000" w:themeColor="text1"/>
          <w:spacing w:val="27"/>
        </w:rPr>
      </w:pPr>
      <w:r>
        <w:rPr>
          <w:rFonts w:ascii="Segoe UI Light" w:hAnsi="Segoe UI Light"/>
          <w:b/>
          <w:bCs/>
          <w:caps/>
          <w:color w:val="000000" w:themeColor="text1"/>
        </w:rPr>
        <w:t>FORMATION DES EMPLOYÉS</w:t>
      </w:r>
    </w:p>
    <w:p w14:paraId="0EBFD3AA" w14:textId="77777777" w:rsidR="00241375" w:rsidRDefault="00241375" w:rsidP="00094826">
      <w:pPr>
        <w:spacing w:after="0" w:line="240" w:lineRule="auto"/>
        <w:outlineLvl w:val="3"/>
        <w:rPr>
          <w:rFonts w:ascii="Segoe UI Light" w:eastAsia="Times New Roman" w:hAnsi="Segoe UI Light" w:cs="Segoe UI Light"/>
          <w:color w:val="000000" w:themeColor="text1"/>
        </w:rPr>
      </w:pPr>
      <w:r>
        <w:rPr>
          <w:rFonts w:ascii="Segoe UI Light" w:hAnsi="Segoe UI Light"/>
          <w:color w:val="000000" w:themeColor="text1"/>
        </w:rPr>
        <w:t>Rideau s’engage à sensibiliser ses employés et ses parties prenantes aux risques liés au travail forcé et au travail des enfants.</w:t>
      </w:r>
    </w:p>
    <w:p w14:paraId="7027D894" w14:textId="77777777" w:rsidR="00241375" w:rsidRPr="003C46C9" w:rsidRDefault="00241375" w:rsidP="00094826">
      <w:pPr>
        <w:spacing w:after="0" w:line="240" w:lineRule="auto"/>
        <w:outlineLvl w:val="3"/>
        <w:rPr>
          <w:rFonts w:ascii="Segoe UI Light" w:eastAsia="Times New Roman" w:hAnsi="Segoe UI Light" w:cs="Segoe UI Light"/>
          <w:b/>
          <w:bCs/>
          <w:caps/>
          <w:color w:val="000000" w:themeColor="text1"/>
          <w:spacing w:val="27"/>
          <w:lang w:eastAsia="en-CA"/>
        </w:rPr>
      </w:pPr>
    </w:p>
    <w:p w14:paraId="43AC8BF8" w14:textId="77777777" w:rsidR="00C322E9" w:rsidRDefault="00E96D3C" w:rsidP="00C322E9">
      <w:pPr>
        <w:spacing w:after="0"/>
        <w:rPr>
          <w:rFonts w:ascii="Segoe UI Light" w:eastAsia="Times New Roman" w:hAnsi="Segoe UI Light" w:cs="Segoe UI Light"/>
          <w:color w:val="000000" w:themeColor="text1"/>
        </w:rPr>
      </w:pPr>
      <w:bookmarkStart w:id="2" w:name="_Hlk166237730"/>
      <w:r>
        <w:rPr>
          <w:rFonts w:ascii="Segoe UI Light" w:hAnsi="Segoe UI Light"/>
          <w:color w:val="000000" w:themeColor="text1"/>
        </w:rPr>
        <w:t xml:space="preserve">Rideau a élaboré une formation obligatoire pour les employés sur les risques liés à notre chaîne d’approvisionnement et liés à l’intégration de nouveaux fournisseurs.  </w:t>
      </w:r>
      <w:bookmarkEnd w:id="2"/>
    </w:p>
    <w:p w14:paraId="4D8279A4" w14:textId="77777777" w:rsidR="000B5DA7" w:rsidRDefault="000B5DA7" w:rsidP="00C322E9">
      <w:pPr>
        <w:spacing w:after="0"/>
        <w:rPr>
          <w:rFonts w:ascii="Segoe UI Light" w:eastAsia="Times New Roman" w:hAnsi="Segoe UI Light" w:cs="Segoe UI Light"/>
          <w:color w:val="000000" w:themeColor="text1"/>
          <w:lang w:eastAsia="en-CA"/>
        </w:rPr>
      </w:pPr>
    </w:p>
    <w:p w14:paraId="21816C89" w14:textId="77777777" w:rsidR="00065C05" w:rsidRPr="00065C05" w:rsidRDefault="00065C05" w:rsidP="00065C05">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Les employés recevront une formation et un enseignement pratique pour les informer des dommages que peuvent causer les pratiques de travail illégales, ainsi que pour leur fournir l’information et les conseils nécessaires pour détecter ou déterminer si du travail illégal est utilisé à tout moment sur une chaîne d’approvisionnement.</w:t>
      </w:r>
    </w:p>
    <w:p w14:paraId="7D2D8315" w14:textId="77777777" w:rsidR="00065C05" w:rsidRPr="00065C05" w:rsidRDefault="00065C05" w:rsidP="00065C05">
      <w:pPr>
        <w:spacing w:after="0" w:line="240" w:lineRule="auto"/>
        <w:rPr>
          <w:rFonts w:ascii="Segoe UI Light" w:eastAsia="Times New Roman" w:hAnsi="Segoe UI Light" w:cs="Segoe UI Light"/>
          <w:color w:val="000000" w:themeColor="text1"/>
          <w:lang w:eastAsia="en-CA"/>
        </w:rPr>
      </w:pPr>
    </w:p>
    <w:p w14:paraId="560AA920" w14:textId="77777777" w:rsidR="00065C05" w:rsidRPr="00065C05" w:rsidRDefault="00065C05" w:rsidP="00065C05">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Tous les cas réels ou suspectés de non-respect de cette politique doivent être signalés au président ou de manière anonyme par l’intermédiaire de notre site Web.</w:t>
      </w:r>
    </w:p>
    <w:p w14:paraId="609F5F6B" w14:textId="30DF0BBD" w:rsidR="009A28EC" w:rsidRDefault="009A28EC">
      <w:pPr>
        <w:rPr>
          <w:rFonts w:ascii="Segoe UI Light" w:hAnsi="Segoe UI Light"/>
          <w:b/>
          <w:bCs/>
          <w:caps/>
          <w:color w:val="000000" w:themeColor="text1"/>
        </w:rPr>
      </w:pPr>
    </w:p>
    <w:p w14:paraId="134047DF" w14:textId="75873F96" w:rsidR="002A4CD5" w:rsidRPr="005F7C92" w:rsidRDefault="00D10BFC" w:rsidP="002A4CD5">
      <w:pPr>
        <w:spacing w:after="0" w:line="240" w:lineRule="auto"/>
        <w:outlineLvl w:val="3"/>
        <w:rPr>
          <w:rFonts w:ascii="Segoe UI Light" w:eastAsia="Times New Roman" w:hAnsi="Segoe UI Light" w:cs="Segoe UI Light"/>
          <w:b/>
          <w:bCs/>
          <w:caps/>
          <w:color w:val="000000" w:themeColor="text1"/>
          <w:spacing w:val="27"/>
        </w:rPr>
      </w:pPr>
      <w:r>
        <w:rPr>
          <w:rFonts w:ascii="Segoe UI Light" w:hAnsi="Segoe UI Light"/>
          <w:b/>
          <w:bCs/>
          <w:caps/>
          <w:color w:val="000000" w:themeColor="text1"/>
        </w:rPr>
        <w:t>ÉVALUATION ET SURVEILLANCE</w:t>
      </w:r>
    </w:p>
    <w:p w14:paraId="2411EE96" w14:textId="77777777" w:rsidR="00094826" w:rsidRPr="003C46C9" w:rsidRDefault="00094826" w:rsidP="002A4CD5">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lastRenderedPageBreak/>
        <w:t xml:space="preserve">Rideau effectuera une évaluation annuelle des risques dans les régions considérées comme à risque élevé et examinera la prévalence du travail forcé et du travail des enfants dans ces pays à l’aide de données externes, avec une enquête plus approfondie du fournisseur, au besoin. </w:t>
      </w:r>
    </w:p>
    <w:p w14:paraId="5EFAA949" w14:textId="77777777" w:rsidR="00094826" w:rsidRPr="003C46C9" w:rsidRDefault="00094826" w:rsidP="002A4CD5">
      <w:pPr>
        <w:spacing w:after="0" w:line="240" w:lineRule="auto"/>
        <w:rPr>
          <w:rFonts w:ascii="Segoe UI Light" w:eastAsia="Times New Roman" w:hAnsi="Segoe UI Light" w:cs="Segoe UI Light"/>
          <w:color w:val="000000" w:themeColor="text1"/>
          <w:lang w:eastAsia="en-CA"/>
        </w:rPr>
      </w:pPr>
    </w:p>
    <w:p w14:paraId="513D4995" w14:textId="77777777" w:rsidR="004F1729" w:rsidRPr="006E3CE1" w:rsidRDefault="00480C10" w:rsidP="00480C10">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 xml:space="preserve">Rideau surveillera régulièrement la conformité au moyen de contrôles internes, d’un examen du suivi pour les évaluations des fournisseurs et d’autres mécanismes appropriés. </w:t>
      </w:r>
    </w:p>
    <w:p w14:paraId="373CC0D5" w14:textId="77777777" w:rsidR="004F1729" w:rsidRPr="006E3CE1" w:rsidRDefault="004F1729" w:rsidP="00480C10">
      <w:pPr>
        <w:spacing w:after="0" w:line="240" w:lineRule="auto"/>
        <w:rPr>
          <w:rFonts w:ascii="Segoe UI Light" w:eastAsia="Times New Roman" w:hAnsi="Segoe UI Light" w:cs="Segoe UI Light"/>
          <w:color w:val="000000" w:themeColor="text1"/>
          <w:lang w:eastAsia="en-CA"/>
        </w:rPr>
      </w:pPr>
    </w:p>
    <w:p w14:paraId="30BE6DD7" w14:textId="77777777" w:rsidR="00480C10" w:rsidRDefault="00480C10" w:rsidP="00480C10">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La conformité et toute non-conformité à la présente politique seront signalées régulièrement à la haute direction.</w:t>
      </w:r>
    </w:p>
    <w:p w14:paraId="1488AF5E" w14:textId="77777777" w:rsidR="00766C5D" w:rsidRDefault="00766C5D" w:rsidP="00480C10">
      <w:pPr>
        <w:spacing w:after="0" w:line="240" w:lineRule="auto"/>
        <w:rPr>
          <w:rFonts w:ascii="Segoe UI Light" w:eastAsia="Times New Roman" w:hAnsi="Segoe UI Light" w:cs="Segoe UI Light"/>
          <w:color w:val="000000" w:themeColor="text1"/>
          <w:lang w:eastAsia="en-CA"/>
        </w:rPr>
      </w:pPr>
    </w:p>
    <w:p w14:paraId="5ABC6FF4" w14:textId="77777777" w:rsidR="00921B31" w:rsidRPr="003C46C9" w:rsidRDefault="00921B31" w:rsidP="00921B31">
      <w:pPr>
        <w:spacing w:after="0" w:line="240" w:lineRule="auto"/>
        <w:outlineLvl w:val="3"/>
        <w:rPr>
          <w:rFonts w:ascii="Segoe UI Light" w:eastAsia="Times New Roman" w:hAnsi="Segoe UI Light" w:cs="Segoe UI Light"/>
          <w:b/>
          <w:bCs/>
          <w:caps/>
          <w:color w:val="000000" w:themeColor="text1"/>
          <w:spacing w:val="27"/>
        </w:rPr>
      </w:pPr>
      <w:r>
        <w:rPr>
          <w:rFonts w:ascii="Segoe UI Light" w:hAnsi="Segoe UI Light"/>
          <w:b/>
          <w:bCs/>
          <w:caps/>
          <w:color w:val="000000" w:themeColor="text1"/>
        </w:rPr>
        <w:t>CONCLUSION</w:t>
      </w:r>
    </w:p>
    <w:p w14:paraId="0A1FD66F" w14:textId="77777777" w:rsidR="00921B31" w:rsidRDefault="00921B31" w:rsidP="00921B31">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Rideau s’engage à promouvoir des pratiques commerciales éthiques et à protéger les droits de la personne. Nous continuerons de favoriser une culture de conduite éthique et de pratiques commerciales responsables au sein de notre organisation et de notre chaîne d’approvisionnement.</w:t>
      </w:r>
    </w:p>
    <w:p w14:paraId="02721E4B" w14:textId="77777777" w:rsidR="00B83F65" w:rsidRDefault="00B83F65" w:rsidP="00921B31">
      <w:pPr>
        <w:spacing w:after="0" w:line="240" w:lineRule="auto"/>
        <w:rPr>
          <w:rFonts w:ascii="Segoe UI Light" w:eastAsia="Times New Roman" w:hAnsi="Segoe UI Light" w:cs="Segoe UI Light"/>
          <w:color w:val="000000" w:themeColor="text1"/>
          <w:lang w:eastAsia="en-CA"/>
        </w:rPr>
      </w:pPr>
    </w:p>
    <w:p w14:paraId="6F00DF09" w14:textId="77777777" w:rsidR="00F86E26" w:rsidRPr="003C46C9" w:rsidRDefault="009D53FB" w:rsidP="00FC31F4">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Nous nous engageons à améliorer continuellement nos efforts pour prévenir le travail forcé et le travail des enfants dans nos opérations et notre chaîne d’approvisionnement. Cela comprend l’examen et la mise à jour de façon régulière de nos politiques, procédures et pratiques afin de refléter les tendances émergentes, les pratiques exemplaires et la rétroaction des parties prenantes.</w:t>
      </w:r>
    </w:p>
    <w:p w14:paraId="0F795A88" w14:textId="77777777" w:rsidR="00F86E26" w:rsidRPr="003C46C9" w:rsidRDefault="00F86E26" w:rsidP="00FC31F4">
      <w:pPr>
        <w:spacing w:after="0" w:line="240" w:lineRule="auto"/>
        <w:rPr>
          <w:rFonts w:ascii="Segoe UI Light" w:eastAsia="Times New Roman" w:hAnsi="Segoe UI Light" w:cs="Segoe UI Light"/>
          <w:color w:val="000000" w:themeColor="text1"/>
          <w:lang w:eastAsia="en-CA"/>
        </w:rPr>
      </w:pPr>
    </w:p>
    <w:p w14:paraId="3D92B9FF" w14:textId="77777777" w:rsidR="00FC31F4" w:rsidRPr="006E3CE1" w:rsidRDefault="00FC31F4" w:rsidP="00FC31F4">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 xml:space="preserve">Au cours des prochaines années, Rideau s’engage à : </w:t>
      </w:r>
    </w:p>
    <w:p w14:paraId="40F63405" w14:textId="77777777" w:rsidR="00FC31F4" w:rsidRPr="006E3CE1" w:rsidRDefault="00FC31F4" w:rsidP="00FC31F4">
      <w:pPr>
        <w:pStyle w:val="ListParagraph"/>
        <w:numPr>
          <w:ilvl w:val="0"/>
          <w:numId w:val="11"/>
        </w:num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Continuer à cartographier et évaluer nos chaînes d’approvisionnement actuelles;</w:t>
      </w:r>
    </w:p>
    <w:p w14:paraId="40366920" w14:textId="77777777" w:rsidR="00FC31F4" w:rsidRPr="006E3CE1" w:rsidRDefault="006E3CE1" w:rsidP="00FC31F4">
      <w:pPr>
        <w:pStyle w:val="ListParagraph"/>
        <w:numPr>
          <w:ilvl w:val="0"/>
          <w:numId w:val="11"/>
        </w:num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Maintenir et mettre à jour nos processus actuels d’approbation et d’intégration des fournisseurs;</w:t>
      </w:r>
    </w:p>
    <w:p w14:paraId="026BCB24" w14:textId="77777777" w:rsidR="00FC31F4" w:rsidRPr="006E3CE1" w:rsidRDefault="006F38CB" w:rsidP="00921B31">
      <w:pPr>
        <w:pStyle w:val="ListParagraph"/>
        <w:numPr>
          <w:ilvl w:val="0"/>
          <w:numId w:val="11"/>
        </w:num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 xml:space="preserve">Continuer à former les employés participant à l’établissement et au maintien de la chaîne d’approvisionnement et à les sensibiliser aux risques liés au travail forcé et au travail des enfants. </w:t>
      </w:r>
    </w:p>
    <w:p w14:paraId="7C5CE7BC" w14:textId="77777777" w:rsidR="00FC31F4" w:rsidRPr="003C46C9" w:rsidRDefault="00FC31F4" w:rsidP="00921B31">
      <w:pPr>
        <w:spacing w:after="0" w:line="240" w:lineRule="auto"/>
        <w:rPr>
          <w:rFonts w:ascii="Segoe UI Light" w:eastAsia="Times New Roman" w:hAnsi="Segoe UI Light" w:cs="Segoe UI Light"/>
          <w:color w:val="000000" w:themeColor="text1"/>
          <w:lang w:eastAsia="en-CA"/>
        </w:rPr>
      </w:pPr>
    </w:p>
    <w:p w14:paraId="13331854" w14:textId="77777777" w:rsidR="00D249ED" w:rsidRPr="003C46C9" w:rsidRDefault="00D249ED" w:rsidP="00921B31">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Nous reconnaissons les droits fondamentaux de tous les individus et nous nous engageons à veiller à ce que nos pratiques commerciales soient conformes aux normes internationales et à toutes les lois applicables.</w:t>
      </w:r>
    </w:p>
    <w:p w14:paraId="2A3910D4" w14:textId="77777777" w:rsidR="00102980" w:rsidRDefault="00102980" w:rsidP="00105E25">
      <w:pPr>
        <w:spacing w:after="0"/>
        <w:rPr>
          <w:rFonts w:ascii="Segoe UI Light" w:eastAsia="Times New Roman" w:hAnsi="Segoe UI Light" w:cs="Segoe UI Light"/>
          <w:color w:val="000000" w:themeColor="text1"/>
          <w:lang w:eastAsia="en-CA"/>
        </w:rPr>
      </w:pPr>
    </w:p>
    <w:p w14:paraId="6A476556" w14:textId="77777777" w:rsidR="00C322E9" w:rsidRDefault="00B83F65" w:rsidP="00B83F65">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 xml:space="preserve">Tous les employés, fournisseurs et clients sont encouragés à signaler toute préoccupation liée au travail forcé ou au travail des enfants sans crainte de représailles.  Le formulaire de dénonciation est disponible </w:t>
      </w:r>
      <w:hyperlink r:id="rId11" w:history="1">
        <w:r>
          <w:rPr>
            <w:rStyle w:val="Hyperlink"/>
            <w:rFonts w:ascii="Segoe UI Light" w:hAnsi="Segoe UI Light"/>
          </w:rPr>
          <w:t>ici</w:t>
        </w:r>
      </w:hyperlink>
      <w:r>
        <w:rPr>
          <w:rFonts w:ascii="Segoe UI Light" w:hAnsi="Segoe UI Light"/>
          <w:color w:val="000000" w:themeColor="text1"/>
        </w:rPr>
        <w:t>.</w:t>
      </w:r>
    </w:p>
    <w:p w14:paraId="500789A7" w14:textId="77777777" w:rsidR="004F3261" w:rsidRPr="003C46C9" w:rsidRDefault="004F3261" w:rsidP="00105E25">
      <w:pPr>
        <w:spacing w:after="0"/>
        <w:rPr>
          <w:rFonts w:ascii="Segoe UI Light" w:eastAsia="Times New Roman" w:hAnsi="Segoe UI Light" w:cs="Segoe UI Light"/>
          <w:color w:val="000000" w:themeColor="text1"/>
          <w:lang w:eastAsia="en-CA"/>
        </w:rPr>
      </w:pPr>
    </w:p>
    <w:p w14:paraId="4C38BDB5" w14:textId="77777777" w:rsidR="00102980" w:rsidRPr="005F7C92" w:rsidRDefault="00102980" w:rsidP="00102980">
      <w:pPr>
        <w:spacing w:after="0" w:line="240" w:lineRule="auto"/>
        <w:outlineLvl w:val="3"/>
        <w:rPr>
          <w:rFonts w:ascii="Segoe UI Light" w:eastAsia="Times New Roman" w:hAnsi="Segoe UI Light" w:cs="Segoe UI Light"/>
          <w:b/>
          <w:bCs/>
          <w:caps/>
          <w:color w:val="000000" w:themeColor="text1"/>
          <w:spacing w:val="27"/>
        </w:rPr>
      </w:pPr>
      <w:r>
        <w:rPr>
          <w:rFonts w:ascii="Segoe UI Light" w:hAnsi="Segoe UI Light"/>
          <w:b/>
          <w:bCs/>
          <w:caps/>
          <w:color w:val="000000" w:themeColor="text1"/>
        </w:rPr>
        <w:t>ATTESTATION</w:t>
      </w:r>
    </w:p>
    <w:p w14:paraId="37D2B421" w14:textId="77D20E80" w:rsidR="00102980" w:rsidRPr="00B40F64" w:rsidRDefault="00102980" w:rsidP="00102980">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 xml:space="preserve">Conformément aux exigences de la </w:t>
      </w:r>
      <w:r>
        <w:rPr>
          <w:rFonts w:ascii="Segoe UI Light" w:hAnsi="Segoe UI Light"/>
          <w:i/>
          <w:iCs/>
          <w:color w:val="000000" w:themeColor="text1"/>
        </w:rPr>
        <w:t>Loi sur la lutte contre le travail forcé et le travail des enfants dans les chaînes d’approvisionnement</w:t>
      </w:r>
      <w:r>
        <w:rPr>
          <w:rFonts w:ascii="Segoe UI Light" w:hAnsi="Segoe UI Light"/>
          <w:color w:val="000000" w:themeColor="text1"/>
        </w:rPr>
        <w:t xml:space="preserve"> (la Loi), et en particulier de son </w:t>
      </w:r>
      <w:r w:rsidR="009A28EC">
        <w:rPr>
          <w:rFonts w:ascii="Segoe UI Light" w:hAnsi="Segoe UI Light"/>
          <w:color w:val="000000" w:themeColor="text1"/>
        </w:rPr>
        <w:t>Article </w:t>
      </w:r>
      <w:r>
        <w:rPr>
          <w:rFonts w:ascii="Segoe UI Light" w:hAnsi="Segoe UI Light"/>
          <w:color w:val="000000" w:themeColor="text1"/>
        </w:rPr>
        <w:t>11, j’atteste, en ma qualité de président, que j’ai examiné les renseignements contenus dans le rapport pour l’entité mentionnée ci-dessus. À ma connaissance, et après avoir fait preuve d’une diligence raisonnable, j’atteste que les renseignements contenus dans le rapport sont véridiques, exacts et complets à tous égards importants aux fins de la Loi, pour l’année de déclaration indiquée dans le présent rapport.</w:t>
      </w:r>
    </w:p>
    <w:p w14:paraId="295514A1" w14:textId="77777777" w:rsidR="00102980" w:rsidRPr="003C46C9" w:rsidRDefault="00102980" w:rsidP="00102980">
      <w:pPr>
        <w:spacing w:after="0" w:line="240" w:lineRule="auto"/>
        <w:rPr>
          <w:rFonts w:ascii="Segoe UI Light" w:eastAsia="Times New Roman" w:hAnsi="Segoe UI Light" w:cs="Segoe UI Light"/>
          <w:color w:val="000000" w:themeColor="text1"/>
          <w:lang w:eastAsia="en-CA"/>
        </w:rPr>
      </w:pPr>
    </w:p>
    <w:p w14:paraId="400538A2" w14:textId="77777777" w:rsidR="00102980" w:rsidRPr="003C46C9" w:rsidRDefault="00FB1597" w:rsidP="00102980">
      <w:pPr>
        <w:spacing w:after="0" w:line="240" w:lineRule="auto"/>
        <w:rPr>
          <w:rFonts w:ascii="Segoe UI Light" w:eastAsia="Times New Roman" w:hAnsi="Segoe UI Light" w:cs="Segoe UI Light"/>
          <w:color w:val="000000" w:themeColor="text1"/>
        </w:rPr>
      </w:pPr>
      <w:r>
        <w:rPr>
          <w:noProof/>
        </w:rPr>
        <w:lastRenderedPageBreak/>
        <w:drawing>
          <wp:inline distT="0" distB="0" distL="0" distR="0" wp14:anchorId="58403C13" wp14:editId="334D9CF0">
            <wp:extent cx="2097741" cy="456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47005" cy="489052"/>
                    </a:xfrm>
                    <a:prstGeom prst="rect">
                      <a:avLst/>
                    </a:prstGeom>
                  </pic:spPr>
                </pic:pic>
              </a:graphicData>
            </a:graphic>
          </wp:inline>
        </w:drawing>
      </w:r>
    </w:p>
    <w:p w14:paraId="235A7805" w14:textId="77777777" w:rsidR="00102980" w:rsidRPr="003C46C9" w:rsidRDefault="00102980" w:rsidP="00102980">
      <w:pPr>
        <w:spacing w:after="0" w:line="240" w:lineRule="auto"/>
        <w:rPr>
          <w:rFonts w:ascii="Segoe UI Light" w:eastAsia="Times New Roman" w:hAnsi="Segoe UI Light" w:cs="Segoe UI Light"/>
          <w:color w:val="000000" w:themeColor="text1"/>
          <w:lang w:eastAsia="en-CA"/>
        </w:rPr>
      </w:pPr>
    </w:p>
    <w:p w14:paraId="60BB1123" w14:textId="77777777" w:rsidR="00102980" w:rsidRPr="003C46C9" w:rsidRDefault="00102980" w:rsidP="00102980">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Arnold Mulder</w:t>
      </w:r>
    </w:p>
    <w:p w14:paraId="038D43D6" w14:textId="77777777" w:rsidR="00102980" w:rsidRPr="003C46C9" w:rsidRDefault="00102980" w:rsidP="00102980">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Président</w:t>
      </w:r>
    </w:p>
    <w:p w14:paraId="5D700D3B" w14:textId="209370A7" w:rsidR="00102980" w:rsidRPr="003C46C9" w:rsidRDefault="00244971" w:rsidP="00102980">
      <w:pPr>
        <w:spacing w:after="0" w:line="240" w:lineRule="auto"/>
        <w:rPr>
          <w:rFonts w:ascii="Segoe UI Light" w:eastAsia="Times New Roman" w:hAnsi="Segoe UI Light" w:cs="Segoe UI Light"/>
          <w:color w:val="000000" w:themeColor="text1"/>
        </w:rPr>
      </w:pPr>
      <w:r>
        <w:rPr>
          <w:rFonts w:ascii="Segoe UI Light" w:hAnsi="Segoe UI Light"/>
          <w:color w:val="000000" w:themeColor="text1"/>
        </w:rPr>
        <w:t>29</w:t>
      </w:r>
      <w:r w:rsidR="00102980">
        <w:rPr>
          <w:rFonts w:ascii="Segoe UI Light" w:hAnsi="Segoe UI Light"/>
          <w:color w:val="000000" w:themeColor="text1"/>
        </w:rPr>
        <w:t> mai </w:t>
      </w:r>
      <w:r>
        <w:rPr>
          <w:rFonts w:ascii="Segoe UI Light" w:hAnsi="Segoe UI Light"/>
          <w:color w:val="000000" w:themeColor="text1"/>
        </w:rPr>
        <w:t>2026</w:t>
      </w:r>
    </w:p>
    <w:p w14:paraId="2EB87BE2" w14:textId="77777777" w:rsidR="00102980" w:rsidRPr="003C46C9" w:rsidRDefault="00102980" w:rsidP="00102980">
      <w:pPr>
        <w:spacing w:after="0" w:line="240" w:lineRule="auto"/>
        <w:rPr>
          <w:rFonts w:ascii="Segoe UI Light" w:eastAsia="Times New Roman" w:hAnsi="Segoe UI Light" w:cs="Segoe UI Light"/>
          <w:color w:val="000000" w:themeColor="text1"/>
          <w:lang w:eastAsia="en-CA"/>
        </w:rPr>
      </w:pPr>
    </w:p>
    <w:p w14:paraId="767552B5" w14:textId="77777777" w:rsidR="00102980" w:rsidRPr="00AC5147" w:rsidRDefault="00102980" w:rsidP="00102980">
      <w:pPr>
        <w:spacing w:after="0" w:line="240" w:lineRule="auto"/>
        <w:rPr>
          <w:rFonts w:ascii="Segoe UI Light" w:eastAsia="Times New Roman" w:hAnsi="Segoe UI Light" w:cs="Segoe UI Light"/>
          <w:b/>
          <w:color w:val="000000" w:themeColor="text1"/>
        </w:rPr>
      </w:pPr>
      <w:r>
        <w:rPr>
          <w:rFonts w:ascii="Segoe UI Light" w:hAnsi="Segoe UI Light"/>
          <w:b/>
          <w:color w:val="000000" w:themeColor="text1"/>
        </w:rPr>
        <w:t xml:space="preserve">J’ai l’autorité de lier Le Groupe Rideau Inc. </w:t>
      </w:r>
    </w:p>
    <w:p w14:paraId="0DF2E025" w14:textId="77777777" w:rsidR="00102980" w:rsidRPr="003C46C9" w:rsidRDefault="00102980" w:rsidP="00105E25">
      <w:pPr>
        <w:spacing w:after="0"/>
        <w:rPr>
          <w:rFonts w:ascii="Segoe UI Light" w:eastAsia="Times New Roman" w:hAnsi="Segoe UI Light" w:cs="Segoe UI Light"/>
          <w:color w:val="000000" w:themeColor="text1"/>
          <w:lang w:eastAsia="en-CA"/>
        </w:rPr>
      </w:pPr>
    </w:p>
    <w:sectPr w:rsidR="00102980" w:rsidRPr="003C46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29B"/>
    <w:multiLevelType w:val="hybridMultilevel"/>
    <w:tmpl w:val="271A61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8129BF"/>
    <w:multiLevelType w:val="multilevel"/>
    <w:tmpl w:val="EC2867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221E5"/>
    <w:multiLevelType w:val="hybridMultilevel"/>
    <w:tmpl w:val="253E395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F9E44E3"/>
    <w:multiLevelType w:val="multilevel"/>
    <w:tmpl w:val="E228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E3229"/>
    <w:multiLevelType w:val="multilevel"/>
    <w:tmpl w:val="1FB6D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6673DB"/>
    <w:multiLevelType w:val="multilevel"/>
    <w:tmpl w:val="D852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76FFF"/>
    <w:multiLevelType w:val="multilevel"/>
    <w:tmpl w:val="AFDA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340B4"/>
    <w:multiLevelType w:val="multilevel"/>
    <w:tmpl w:val="EC2867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13B67"/>
    <w:multiLevelType w:val="hybridMultilevel"/>
    <w:tmpl w:val="16B229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F01383"/>
    <w:multiLevelType w:val="multilevel"/>
    <w:tmpl w:val="EC2867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61BCD"/>
    <w:multiLevelType w:val="multilevel"/>
    <w:tmpl w:val="EC2867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20116"/>
    <w:multiLevelType w:val="multilevel"/>
    <w:tmpl w:val="D1C6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54A6D"/>
    <w:multiLevelType w:val="multilevel"/>
    <w:tmpl w:val="0CDA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D6E29"/>
    <w:multiLevelType w:val="multilevel"/>
    <w:tmpl w:val="EC2867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66CEF"/>
    <w:multiLevelType w:val="multilevel"/>
    <w:tmpl w:val="C36A4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C942BA4"/>
    <w:multiLevelType w:val="hybridMultilevel"/>
    <w:tmpl w:val="F89E79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C50C17"/>
    <w:multiLevelType w:val="multilevel"/>
    <w:tmpl w:val="EC2867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D0351"/>
    <w:multiLevelType w:val="multilevel"/>
    <w:tmpl w:val="F16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E2547F"/>
    <w:multiLevelType w:val="multilevel"/>
    <w:tmpl w:val="86ECB6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B082E08"/>
    <w:multiLevelType w:val="multilevel"/>
    <w:tmpl w:val="EC2867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A41AB"/>
    <w:multiLevelType w:val="multilevel"/>
    <w:tmpl w:val="E8BC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688838">
    <w:abstractNumId w:val="5"/>
  </w:num>
  <w:num w:numId="2" w16cid:durableId="2124415331">
    <w:abstractNumId w:val="9"/>
  </w:num>
  <w:num w:numId="3" w16cid:durableId="960646181">
    <w:abstractNumId w:val="4"/>
  </w:num>
  <w:num w:numId="4" w16cid:durableId="435834871">
    <w:abstractNumId w:val="15"/>
  </w:num>
  <w:num w:numId="5" w16cid:durableId="674650299">
    <w:abstractNumId w:val="0"/>
  </w:num>
  <w:num w:numId="6" w16cid:durableId="1503739530">
    <w:abstractNumId w:val="8"/>
  </w:num>
  <w:num w:numId="7" w16cid:durableId="45880452">
    <w:abstractNumId w:val="10"/>
  </w:num>
  <w:num w:numId="8" w16cid:durableId="1043360975">
    <w:abstractNumId w:val="3"/>
  </w:num>
  <w:num w:numId="9" w16cid:durableId="1784575023">
    <w:abstractNumId w:val="6"/>
  </w:num>
  <w:num w:numId="10" w16cid:durableId="2112119488">
    <w:abstractNumId w:val="18"/>
  </w:num>
  <w:num w:numId="11" w16cid:durableId="1089354961">
    <w:abstractNumId w:val="19"/>
  </w:num>
  <w:num w:numId="12" w16cid:durableId="1786650414">
    <w:abstractNumId w:val="1"/>
  </w:num>
  <w:num w:numId="13" w16cid:durableId="1480415083">
    <w:abstractNumId w:val="14"/>
  </w:num>
  <w:num w:numId="14" w16cid:durableId="1126391515">
    <w:abstractNumId w:val="7"/>
  </w:num>
  <w:num w:numId="15" w16cid:durableId="1031414130">
    <w:abstractNumId w:val="16"/>
  </w:num>
  <w:num w:numId="16" w16cid:durableId="1481069477">
    <w:abstractNumId w:val="13"/>
  </w:num>
  <w:num w:numId="17" w16cid:durableId="1638342220">
    <w:abstractNumId w:val="2"/>
  </w:num>
  <w:num w:numId="18" w16cid:durableId="740372883">
    <w:abstractNumId w:val="17"/>
  </w:num>
  <w:num w:numId="19" w16cid:durableId="1058893046">
    <w:abstractNumId w:val="12"/>
  </w:num>
  <w:num w:numId="20" w16cid:durableId="1175265652">
    <w:abstractNumId w:val="20"/>
  </w:num>
  <w:num w:numId="21" w16cid:durableId="98985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D6"/>
    <w:rsid w:val="00032149"/>
    <w:rsid w:val="000417DD"/>
    <w:rsid w:val="00054B4A"/>
    <w:rsid w:val="000559B7"/>
    <w:rsid w:val="000577C9"/>
    <w:rsid w:val="00065C05"/>
    <w:rsid w:val="000756E4"/>
    <w:rsid w:val="000759C8"/>
    <w:rsid w:val="00093542"/>
    <w:rsid w:val="00094826"/>
    <w:rsid w:val="000A56C2"/>
    <w:rsid w:val="000B0594"/>
    <w:rsid w:val="000B5DA7"/>
    <w:rsid w:val="000E186A"/>
    <w:rsid w:val="000E315D"/>
    <w:rsid w:val="000E762F"/>
    <w:rsid w:val="000F2428"/>
    <w:rsid w:val="000F5BA2"/>
    <w:rsid w:val="00102980"/>
    <w:rsid w:val="00105E25"/>
    <w:rsid w:val="00110B7C"/>
    <w:rsid w:val="00120A75"/>
    <w:rsid w:val="00130EFE"/>
    <w:rsid w:val="001459EC"/>
    <w:rsid w:val="00151C67"/>
    <w:rsid w:val="001526A8"/>
    <w:rsid w:val="00152D1C"/>
    <w:rsid w:val="001866A7"/>
    <w:rsid w:val="001B4D8C"/>
    <w:rsid w:val="001D22A5"/>
    <w:rsid w:val="001D604A"/>
    <w:rsid w:val="001E1E83"/>
    <w:rsid w:val="001F4BAF"/>
    <w:rsid w:val="001F608F"/>
    <w:rsid w:val="00204F5C"/>
    <w:rsid w:val="00213573"/>
    <w:rsid w:val="00241375"/>
    <w:rsid w:val="00244971"/>
    <w:rsid w:val="0024617A"/>
    <w:rsid w:val="00250FEA"/>
    <w:rsid w:val="002667DA"/>
    <w:rsid w:val="00275F3C"/>
    <w:rsid w:val="002767E1"/>
    <w:rsid w:val="0028178A"/>
    <w:rsid w:val="00282354"/>
    <w:rsid w:val="002A4CD5"/>
    <w:rsid w:val="002C478F"/>
    <w:rsid w:val="002D32F2"/>
    <w:rsid w:val="002E26D6"/>
    <w:rsid w:val="0032115F"/>
    <w:rsid w:val="003228B2"/>
    <w:rsid w:val="003254C5"/>
    <w:rsid w:val="00342B96"/>
    <w:rsid w:val="00347ACD"/>
    <w:rsid w:val="00367790"/>
    <w:rsid w:val="00373104"/>
    <w:rsid w:val="00376168"/>
    <w:rsid w:val="00395F48"/>
    <w:rsid w:val="003A29C6"/>
    <w:rsid w:val="003C46C9"/>
    <w:rsid w:val="003C5AA3"/>
    <w:rsid w:val="003C7820"/>
    <w:rsid w:val="003D3446"/>
    <w:rsid w:val="003D722C"/>
    <w:rsid w:val="003E00D3"/>
    <w:rsid w:val="00412973"/>
    <w:rsid w:val="00413665"/>
    <w:rsid w:val="004225E9"/>
    <w:rsid w:val="004332D0"/>
    <w:rsid w:val="004364F4"/>
    <w:rsid w:val="00456E99"/>
    <w:rsid w:val="00460E1C"/>
    <w:rsid w:val="00467841"/>
    <w:rsid w:val="004718D2"/>
    <w:rsid w:val="00475EFD"/>
    <w:rsid w:val="00480C10"/>
    <w:rsid w:val="004816D1"/>
    <w:rsid w:val="00486301"/>
    <w:rsid w:val="004A59BA"/>
    <w:rsid w:val="004B7441"/>
    <w:rsid w:val="004D24DA"/>
    <w:rsid w:val="004D296F"/>
    <w:rsid w:val="004E7493"/>
    <w:rsid w:val="004F1729"/>
    <w:rsid w:val="004F3261"/>
    <w:rsid w:val="00514F2A"/>
    <w:rsid w:val="0052487C"/>
    <w:rsid w:val="00530471"/>
    <w:rsid w:val="00532925"/>
    <w:rsid w:val="005663F7"/>
    <w:rsid w:val="00567FEE"/>
    <w:rsid w:val="00595E11"/>
    <w:rsid w:val="005A2516"/>
    <w:rsid w:val="005A2699"/>
    <w:rsid w:val="005B3AB4"/>
    <w:rsid w:val="005B4CCB"/>
    <w:rsid w:val="005B5223"/>
    <w:rsid w:val="005E01FA"/>
    <w:rsid w:val="005F7C92"/>
    <w:rsid w:val="006262FC"/>
    <w:rsid w:val="00632E59"/>
    <w:rsid w:val="0063491B"/>
    <w:rsid w:val="00646068"/>
    <w:rsid w:val="00651456"/>
    <w:rsid w:val="0066217B"/>
    <w:rsid w:val="0067159C"/>
    <w:rsid w:val="00672DCF"/>
    <w:rsid w:val="006804AA"/>
    <w:rsid w:val="006844EE"/>
    <w:rsid w:val="0068721E"/>
    <w:rsid w:val="00690140"/>
    <w:rsid w:val="00691407"/>
    <w:rsid w:val="006B1DA0"/>
    <w:rsid w:val="006C0EDD"/>
    <w:rsid w:val="006E3CE1"/>
    <w:rsid w:val="006F1107"/>
    <w:rsid w:val="006F291D"/>
    <w:rsid w:val="006F38CB"/>
    <w:rsid w:val="007224D7"/>
    <w:rsid w:val="00745BE5"/>
    <w:rsid w:val="0076417B"/>
    <w:rsid w:val="00766C5D"/>
    <w:rsid w:val="0077392E"/>
    <w:rsid w:val="0078768E"/>
    <w:rsid w:val="007B6625"/>
    <w:rsid w:val="007C0762"/>
    <w:rsid w:val="00804862"/>
    <w:rsid w:val="008144B4"/>
    <w:rsid w:val="0083717B"/>
    <w:rsid w:val="00842FCF"/>
    <w:rsid w:val="00875538"/>
    <w:rsid w:val="008832C5"/>
    <w:rsid w:val="00887E32"/>
    <w:rsid w:val="0089795F"/>
    <w:rsid w:val="008A5607"/>
    <w:rsid w:val="008C0F26"/>
    <w:rsid w:val="008E254D"/>
    <w:rsid w:val="008F1623"/>
    <w:rsid w:val="008F22D8"/>
    <w:rsid w:val="008F3B79"/>
    <w:rsid w:val="00921B31"/>
    <w:rsid w:val="009400AE"/>
    <w:rsid w:val="009622E8"/>
    <w:rsid w:val="009635F8"/>
    <w:rsid w:val="00965867"/>
    <w:rsid w:val="009900B7"/>
    <w:rsid w:val="00992B7D"/>
    <w:rsid w:val="0099342A"/>
    <w:rsid w:val="009937F0"/>
    <w:rsid w:val="009A22B0"/>
    <w:rsid w:val="009A28EC"/>
    <w:rsid w:val="009A2DF2"/>
    <w:rsid w:val="009B1983"/>
    <w:rsid w:val="009B341F"/>
    <w:rsid w:val="009C291D"/>
    <w:rsid w:val="009D53FB"/>
    <w:rsid w:val="009D5AE2"/>
    <w:rsid w:val="009D5D10"/>
    <w:rsid w:val="009E04A6"/>
    <w:rsid w:val="009E3EF6"/>
    <w:rsid w:val="009E7433"/>
    <w:rsid w:val="009F3D5C"/>
    <w:rsid w:val="00A03F4C"/>
    <w:rsid w:val="00A4508C"/>
    <w:rsid w:val="00A65046"/>
    <w:rsid w:val="00A77593"/>
    <w:rsid w:val="00A840D5"/>
    <w:rsid w:val="00A92DE6"/>
    <w:rsid w:val="00AA35FD"/>
    <w:rsid w:val="00AA56F2"/>
    <w:rsid w:val="00AC5147"/>
    <w:rsid w:val="00AC7BC6"/>
    <w:rsid w:val="00AE7939"/>
    <w:rsid w:val="00AF30C7"/>
    <w:rsid w:val="00AF36DB"/>
    <w:rsid w:val="00B07B78"/>
    <w:rsid w:val="00B10280"/>
    <w:rsid w:val="00B128E8"/>
    <w:rsid w:val="00B13A7E"/>
    <w:rsid w:val="00B40F64"/>
    <w:rsid w:val="00B45CF9"/>
    <w:rsid w:val="00B5631D"/>
    <w:rsid w:val="00B62B75"/>
    <w:rsid w:val="00B62DD6"/>
    <w:rsid w:val="00B746C7"/>
    <w:rsid w:val="00B7472A"/>
    <w:rsid w:val="00B83F65"/>
    <w:rsid w:val="00BA0942"/>
    <w:rsid w:val="00BA5727"/>
    <w:rsid w:val="00BB342D"/>
    <w:rsid w:val="00BE41D9"/>
    <w:rsid w:val="00BE7B56"/>
    <w:rsid w:val="00BF22A3"/>
    <w:rsid w:val="00BF68F4"/>
    <w:rsid w:val="00C156ED"/>
    <w:rsid w:val="00C31AFC"/>
    <w:rsid w:val="00C322E9"/>
    <w:rsid w:val="00C43088"/>
    <w:rsid w:val="00C521B9"/>
    <w:rsid w:val="00CA7B0A"/>
    <w:rsid w:val="00CB7875"/>
    <w:rsid w:val="00CD1659"/>
    <w:rsid w:val="00CE4764"/>
    <w:rsid w:val="00CE59BD"/>
    <w:rsid w:val="00D101B5"/>
    <w:rsid w:val="00D10BFC"/>
    <w:rsid w:val="00D22DC9"/>
    <w:rsid w:val="00D249ED"/>
    <w:rsid w:val="00D36E55"/>
    <w:rsid w:val="00D4568F"/>
    <w:rsid w:val="00D61940"/>
    <w:rsid w:val="00D67D21"/>
    <w:rsid w:val="00D725A9"/>
    <w:rsid w:val="00D8583B"/>
    <w:rsid w:val="00DA55D2"/>
    <w:rsid w:val="00DB0D06"/>
    <w:rsid w:val="00DB3372"/>
    <w:rsid w:val="00DC5385"/>
    <w:rsid w:val="00DC6FA3"/>
    <w:rsid w:val="00DD1429"/>
    <w:rsid w:val="00DD3526"/>
    <w:rsid w:val="00DD3C24"/>
    <w:rsid w:val="00DD58C2"/>
    <w:rsid w:val="00DF682B"/>
    <w:rsid w:val="00E137D0"/>
    <w:rsid w:val="00E24FBC"/>
    <w:rsid w:val="00E41223"/>
    <w:rsid w:val="00E436D9"/>
    <w:rsid w:val="00E547DF"/>
    <w:rsid w:val="00E6173B"/>
    <w:rsid w:val="00E65637"/>
    <w:rsid w:val="00E73967"/>
    <w:rsid w:val="00E83941"/>
    <w:rsid w:val="00E96D3C"/>
    <w:rsid w:val="00EE1D4E"/>
    <w:rsid w:val="00EF5E91"/>
    <w:rsid w:val="00EF6DDD"/>
    <w:rsid w:val="00F1315B"/>
    <w:rsid w:val="00F43F99"/>
    <w:rsid w:val="00F57939"/>
    <w:rsid w:val="00F62753"/>
    <w:rsid w:val="00F80751"/>
    <w:rsid w:val="00F85096"/>
    <w:rsid w:val="00F86E26"/>
    <w:rsid w:val="00FA21A0"/>
    <w:rsid w:val="00FB1597"/>
    <w:rsid w:val="00FC31F4"/>
    <w:rsid w:val="00FD19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A1FB"/>
  <w15:docId w15:val="{2A53C7CD-7FB9-4C30-83DF-37F6CB5F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2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2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62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2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2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2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2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62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DD6"/>
    <w:rPr>
      <w:rFonts w:eastAsiaTheme="majorEastAsia" w:cstheme="majorBidi"/>
      <w:color w:val="272727" w:themeColor="text1" w:themeTint="D8"/>
    </w:rPr>
  </w:style>
  <w:style w:type="paragraph" w:styleId="Title">
    <w:name w:val="Title"/>
    <w:basedOn w:val="Normal"/>
    <w:next w:val="Normal"/>
    <w:link w:val="TitleChar"/>
    <w:uiPriority w:val="10"/>
    <w:qFormat/>
    <w:rsid w:val="00B62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DD6"/>
    <w:pPr>
      <w:spacing w:before="160"/>
      <w:jc w:val="center"/>
    </w:pPr>
    <w:rPr>
      <w:i/>
      <w:iCs/>
      <w:color w:val="404040" w:themeColor="text1" w:themeTint="BF"/>
    </w:rPr>
  </w:style>
  <w:style w:type="character" w:customStyle="1" w:styleId="QuoteChar">
    <w:name w:val="Quote Char"/>
    <w:basedOn w:val="DefaultParagraphFont"/>
    <w:link w:val="Quote"/>
    <w:uiPriority w:val="29"/>
    <w:rsid w:val="00B62DD6"/>
    <w:rPr>
      <w:i/>
      <w:iCs/>
      <w:color w:val="404040" w:themeColor="text1" w:themeTint="BF"/>
    </w:rPr>
  </w:style>
  <w:style w:type="paragraph" w:styleId="ListParagraph">
    <w:name w:val="List Paragraph"/>
    <w:basedOn w:val="Normal"/>
    <w:uiPriority w:val="34"/>
    <w:qFormat/>
    <w:rsid w:val="00B62DD6"/>
    <w:pPr>
      <w:ind w:left="720"/>
      <w:contextualSpacing/>
    </w:pPr>
  </w:style>
  <w:style w:type="character" w:styleId="IntenseEmphasis">
    <w:name w:val="Intense Emphasis"/>
    <w:basedOn w:val="DefaultParagraphFont"/>
    <w:uiPriority w:val="21"/>
    <w:qFormat/>
    <w:rsid w:val="00B62DD6"/>
    <w:rPr>
      <w:i/>
      <w:iCs/>
      <w:color w:val="2F5496" w:themeColor="accent1" w:themeShade="BF"/>
    </w:rPr>
  </w:style>
  <w:style w:type="paragraph" w:styleId="IntenseQuote">
    <w:name w:val="Intense Quote"/>
    <w:basedOn w:val="Normal"/>
    <w:next w:val="Normal"/>
    <w:link w:val="IntenseQuoteChar"/>
    <w:uiPriority w:val="30"/>
    <w:qFormat/>
    <w:rsid w:val="00B62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DD6"/>
    <w:rPr>
      <w:i/>
      <w:iCs/>
      <w:color w:val="2F5496" w:themeColor="accent1" w:themeShade="BF"/>
    </w:rPr>
  </w:style>
  <w:style w:type="character" w:styleId="IntenseReference">
    <w:name w:val="Intense Reference"/>
    <w:basedOn w:val="DefaultParagraphFont"/>
    <w:uiPriority w:val="32"/>
    <w:qFormat/>
    <w:rsid w:val="00B62DD6"/>
    <w:rPr>
      <w:b/>
      <w:bCs/>
      <w:smallCaps/>
      <w:color w:val="2F5496" w:themeColor="accent1" w:themeShade="BF"/>
      <w:spacing w:val="5"/>
    </w:rPr>
  </w:style>
  <w:style w:type="paragraph" w:styleId="NormalWeb">
    <w:name w:val="Normal (Web)"/>
    <w:basedOn w:val="Normal"/>
    <w:uiPriority w:val="99"/>
    <w:unhideWhenUsed/>
    <w:rsid w:val="00B40F6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F7C92"/>
    <w:rPr>
      <w:b/>
      <w:bCs/>
    </w:rPr>
  </w:style>
  <w:style w:type="character" w:styleId="Hyperlink">
    <w:name w:val="Hyperlink"/>
    <w:basedOn w:val="DefaultParagraphFont"/>
    <w:uiPriority w:val="99"/>
    <w:unhideWhenUsed/>
    <w:rsid w:val="005F7C92"/>
    <w:rPr>
      <w:color w:val="0000FF"/>
      <w:u w:val="single"/>
    </w:rPr>
  </w:style>
  <w:style w:type="character" w:styleId="FollowedHyperlink">
    <w:name w:val="FollowedHyperlink"/>
    <w:basedOn w:val="DefaultParagraphFont"/>
    <w:uiPriority w:val="99"/>
    <w:semiHidden/>
    <w:unhideWhenUsed/>
    <w:rsid w:val="005B3AB4"/>
    <w:rPr>
      <w:color w:val="954F72" w:themeColor="followedHyperlink"/>
      <w:u w:val="single"/>
    </w:rPr>
  </w:style>
  <w:style w:type="paragraph" w:customStyle="1" w:styleId="chrome">
    <w:name w:val="chrome"/>
    <w:basedOn w:val="Normal"/>
    <w:rsid w:val="000E315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93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7F0"/>
    <w:rPr>
      <w:rFonts w:ascii="Segoe UI" w:hAnsi="Segoe UI" w:cs="Segoe UI"/>
      <w:sz w:val="18"/>
      <w:szCs w:val="18"/>
    </w:rPr>
  </w:style>
  <w:style w:type="character" w:styleId="UnresolvedMention">
    <w:name w:val="Unresolved Mention"/>
    <w:basedOn w:val="DefaultParagraphFont"/>
    <w:uiPriority w:val="99"/>
    <w:semiHidden/>
    <w:unhideWhenUsed/>
    <w:rsid w:val="00F43F99"/>
    <w:rPr>
      <w:color w:val="605E5C"/>
      <w:shd w:val="clear" w:color="auto" w:fill="E1DFDD"/>
    </w:rPr>
  </w:style>
  <w:style w:type="paragraph" w:styleId="Revision">
    <w:name w:val="Revision"/>
    <w:hidden/>
    <w:uiPriority w:val="99"/>
    <w:semiHidden/>
    <w:rsid w:val="009A28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1333">
      <w:bodyDiv w:val="1"/>
      <w:marLeft w:val="0"/>
      <w:marRight w:val="0"/>
      <w:marTop w:val="0"/>
      <w:marBottom w:val="0"/>
      <w:divBdr>
        <w:top w:val="none" w:sz="0" w:space="0" w:color="auto"/>
        <w:left w:val="none" w:sz="0" w:space="0" w:color="auto"/>
        <w:bottom w:val="none" w:sz="0" w:space="0" w:color="auto"/>
        <w:right w:val="none" w:sz="0" w:space="0" w:color="auto"/>
      </w:divBdr>
    </w:div>
    <w:div w:id="127628049">
      <w:bodyDiv w:val="1"/>
      <w:marLeft w:val="0"/>
      <w:marRight w:val="0"/>
      <w:marTop w:val="0"/>
      <w:marBottom w:val="0"/>
      <w:divBdr>
        <w:top w:val="none" w:sz="0" w:space="0" w:color="auto"/>
        <w:left w:val="none" w:sz="0" w:space="0" w:color="auto"/>
        <w:bottom w:val="none" w:sz="0" w:space="0" w:color="auto"/>
        <w:right w:val="none" w:sz="0" w:space="0" w:color="auto"/>
      </w:divBdr>
    </w:div>
    <w:div w:id="149911109">
      <w:bodyDiv w:val="1"/>
      <w:marLeft w:val="0"/>
      <w:marRight w:val="0"/>
      <w:marTop w:val="0"/>
      <w:marBottom w:val="0"/>
      <w:divBdr>
        <w:top w:val="none" w:sz="0" w:space="0" w:color="auto"/>
        <w:left w:val="none" w:sz="0" w:space="0" w:color="auto"/>
        <w:bottom w:val="none" w:sz="0" w:space="0" w:color="auto"/>
        <w:right w:val="none" w:sz="0" w:space="0" w:color="auto"/>
      </w:divBdr>
    </w:div>
    <w:div w:id="445731092">
      <w:bodyDiv w:val="1"/>
      <w:marLeft w:val="0"/>
      <w:marRight w:val="0"/>
      <w:marTop w:val="0"/>
      <w:marBottom w:val="0"/>
      <w:divBdr>
        <w:top w:val="none" w:sz="0" w:space="0" w:color="auto"/>
        <w:left w:val="none" w:sz="0" w:space="0" w:color="auto"/>
        <w:bottom w:val="none" w:sz="0" w:space="0" w:color="auto"/>
        <w:right w:val="none" w:sz="0" w:space="0" w:color="auto"/>
      </w:divBdr>
    </w:div>
    <w:div w:id="597252708">
      <w:bodyDiv w:val="1"/>
      <w:marLeft w:val="0"/>
      <w:marRight w:val="0"/>
      <w:marTop w:val="0"/>
      <w:marBottom w:val="0"/>
      <w:divBdr>
        <w:top w:val="none" w:sz="0" w:space="0" w:color="auto"/>
        <w:left w:val="none" w:sz="0" w:space="0" w:color="auto"/>
        <w:bottom w:val="none" w:sz="0" w:space="0" w:color="auto"/>
        <w:right w:val="none" w:sz="0" w:space="0" w:color="auto"/>
      </w:divBdr>
    </w:div>
    <w:div w:id="632371700">
      <w:bodyDiv w:val="1"/>
      <w:marLeft w:val="0"/>
      <w:marRight w:val="0"/>
      <w:marTop w:val="0"/>
      <w:marBottom w:val="0"/>
      <w:divBdr>
        <w:top w:val="none" w:sz="0" w:space="0" w:color="auto"/>
        <w:left w:val="none" w:sz="0" w:space="0" w:color="auto"/>
        <w:bottom w:val="none" w:sz="0" w:space="0" w:color="auto"/>
        <w:right w:val="none" w:sz="0" w:space="0" w:color="auto"/>
      </w:divBdr>
    </w:div>
    <w:div w:id="966617648">
      <w:bodyDiv w:val="1"/>
      <w:marLeft w:val="0"/>
      <w:marRight w:val="0"/>
      <w:marTop w:val="0"/>
      <w:marBottom w:val="0"/>
      <w:divBdr>
        <w:top w:val="none" w:sz="0" w:space="0" w:color="auto"/>
        <w:left w:val="none" w:sz="0" w:space="0" w:color="auto"/>
        <w:bottom w:val="none" w:sz="0" w:space="0" w:color="auto"/>
        <w:right w:val="none" w:sz="0" w:space="0" w:color="auto"/>
      </w:divBdr>
    </w:div>
    <w:div w:id="1024475619">
      <w:bodyDiv w:val="1"/>
      <w:marLeft w:val="0"/>
      <w:marRight w:val="0"/>
      <w:marTop w:val="0"/>
      <w:marBottom w:val="0"/>
      <w:divBdr>
        <w:top w:val="none" w:sz="0" w:space="0" w:color="auto"/>
        <w:left w:val="none" w:sz="0" w:space="0" w:color="auto"/>
        <w:bottom w:val="none" w:sz="0" w:space="0" w:color="auto"/>
        <w:right w:val="none" w:sz="0" w:space="0" w:color="auto"/>
      </w:divBdr>
    </w:div>
    <w:div w:id="1054087527">
      <w:bodyDiv w:val="1"/>
      <w:marLeft w:val="0"/>
      <w:marRight w:val="0"/>
      <w:marTop w:val="0"/>
      <w:marBottom w:val="0"/>
      <w:divBdr>
        <w:top w:val="none" w:sz="0" w:space="0" w:color="auto"/>
        <w:left w:val="none" w:sz="0" w:space="0" w:color="auto"/>
        <w:bottom w:val="none" w:sz="0" w:space="0" w:color="auto"/>
        <w:right w:val="none" w:sz="0" w:space="0" w:color="auto"/>
      </w:divBdr>
    </w:div>
    <w:div w:id="1132484200">
      <w:bodyDiv w:val="1"/>
      <w:marLeft w:val="0"/>
      <w:marRight w:val="0"/>
      <w:marTop w:val="0"/>
      <w:marBottom w:val="0"/>
      <w:divBdr>
        <w:top w:val="none" w:sz="0" w:space="0" w:color="auto"/>
        <w:left w:val="none" w:sz="0" w:space="0" w:color="auto"/>
        <w:bottom w:val="none" w:sz="0" w:space="0" w:color="auto"/>
        <w:right w:val="none" w:sz="0" w:space="0" w:color="auto"/>
      </w:divBdr>
    </w:div>
    <w:div w:id="1146632177">
      <w:bodyDiv w:val="1"/>
      <w:marLeft w:val="0"/>
      <w:marRight w:val="0"/>
      <w:marTop w:val="0"/>
      <w:marBottom w:val="0"/>
      <w:divBdr>
        <w:top w:val="none" w:sz="0" w:space="0" w:color="auto"/>
        <w:left w:val="none" w:sz="0" w:space="0" w:color="auto"/>
        <w:bottom w:val="none" w:sz="0" w:space="0" w:color="auto"/>
        <w:right w:val="none" w:sz="0" w:space="0" w:color="auto"/>
      </w:divBdr>
    </w:div>
    <w:div w:id="1205020217">
      <w:bodyDiv w:val="1"/>
      <w:marLeft w:val="0"/>
      <w:marRight w:val="0"/>
      <w:marTop w:val="0"/>
      <w:marBottom w:val="0"/>
      <w:divBdr>
        <w:top w:val="none" w:sz="0" w:space="0" w:color="auto"/>
        <w:left w:val="none" w:sz="0" w:space="0" w:color="auto"/>
        <w:bottom w:val="none" w:sz="0" w:space="0" w:color="auto"/>
        <w:right w:val="none" w:sz="0" w:space="0" w:color="auto"/>
      </w:divBdr>
    </w:div>
    <w:div w:id="1233199960">
      <w:bodyDiv w:val="1"/>
      <w:marLeft w:val="0"/>
      <w:marRight w:val="0"/>
      <w:marTop w:val="0"/>
      <w:marBottom w:val="0"/>
      <w:divBdr>
        <w:top w:val="none" w:sz="0" w:space="0" w:color="auto"/>
        <w:left w:val="none" w:sz="0" w:space="0" w:color="auto"/>
        <w:bottom w:val="none" w:sz="0" w:space="0" w:color="auto"/>
        <w:right w:val="none" w:sz="0" w:space="0" w:color="auto"/>
      </w:divBdr>
    </w:div>
    <w:div w:id="1699622288">
      <w:bodyDiv w:val="1"/>
      <w:marLeft w:val="0"/>
      <w:marRight w:val="0"/>
      <w:marTop w:val="0"/>
      <w:marBottom w:val="0"/>
      <w:divBdr>
        <w:top w:val="none" w:sz="0" w:space="0" w:color="auto"/>
        <w:left w:val="none" w:sz="0" w:space="0" w:color="auto"/>
        <w:bottom w:val="none" w:sz="0" w:space="0" w:color="auto"/>
        <w:right w:val="none" w:sz="0" w:space="0" w:color="auto"/>
      </w:divBdr>
      <w:divsChild>
        <w:div w:id="886067091">
          <w:marLeft w:val="0"/>
          <w:marRight w:val="0"/>
          <w:marTop w:val="0"/>
          <w:marBottom w:val="0"/>
          <w:divBdr>
            <w:top w:val="none" w:sz="0" w:space="0" w:color="auto"/>
            <w:left w:val="none" w:sz="0" w:space="0" w:color="auto"/>
            <w:bottom w:val="none" w:sz="0" w:space="0" w:color="auto"/>
            <w:right w:val="none" w:sz="0" w:space="0" w:color="auto"/>
          </w:divBdr>
          <w:divsChild>
            <w:div w:id="1118794434">
              <w:marLeft w:val="0"/>
              <w:marRight w:val="0"/>
              <w:marTop w:val="0"/>
              <w:marBottom w:val="0"/>
              <w:divBdr>
                <w:top w:val="none" w:sz="0" w:space="0" w:color="auto"/>
                <w:left w:val="none" w:sz="0" w:space="0" w:color="auto"/>
                <w:bottom w:val="none" w:sz="0" w:space="0" w:color="auto"/>
                <w:right w:val="none" w:sz="0" w:space="0" w:color="auto"/>
              </w:divBdr>
              <w:divsChild>
                <w:div w:id="1728410251">
                  <w:marLeft w:val="0"/>
                  <w:marRight w:val="0"/>
                  <w:marTop w:val="0"/>
                  <w:marBottom w:val="0"/>
                  <w:divBdr>
                    <w:top w:val="none" w:sz="0" w:space="0" w:color="auto"/>
                    <w:left w:val="none" w:sz="0" w:space="0" w:color="auto"/>
                    <w:bottom w:val="none" w:sz="0" w:space="0" w:color="auto"/>
                    <w:right w:val="none" w:sz="0" w:space="0" w:color="auto"/>
                  </w:divBdr>
                </w:div>
                <w:div w:id="203064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5441">
      <w:bodyDiv w:val="1"/>
      <w:marLeft w:val="0"/>
      <w:marRight w:val="0"/>
      <w:marTop w:val="0"/>
      <w:marBottom w:val="0"/>
      <w:divBdr>
        <w:top w:val="none" w:sz="0" w:space="0" w:color="auto"/>
        <w:left w:val="none" w:sz="0" w:space="0" w:color="auto"/>
        <w:bottom w:val="none" w:sz="0" w:space="0" w:color="auto"/>
        <w:right w:val="none" w:sz="0" w:space="0" w:color="auto"/>
      </w:divBdr>
    </w:div>
    <w:div w:id="1987513691">
      <w:bodyDiv w:val="1"/>
      <w:marLeft w:val="0"/>
      <w:marRight w:val="0"/>
      <w:marTop w:val="0"/>
      <w:marBottom w:val="0"/>
      <w:divBdr>
        <w:top w:val="none" w:sz="0" w:space="0" w:color="auto"/>
        <w:left w:val="none" w:sz="0" w:space="0" w:color="auto"/>
        <w:bottom w:val="none" w:sz="0" w:space="0" w:color="auto"/>
        <w:right w:val="none" w:sz="0" w:space="0" w:color="auto"/>
      </w:divBdr>
    </w:div>
    <w:div w:id="1996689237">
      <w:bodyDiv w:val="1"/>
      <w:marLeft w:val="0"/>
      <w:marRight w:val="0"/>
      <w:marTop w:val="0"/>
      <w:marBottom w:val="0"/>
      <w:divBdr>
        <w:top w:val="none" w:sz="0" w:space="0" w:color="auto"/>
        <w:left w:val="none" w:sz="0" w:space="0" w:color="auto"/>
        <w:bottom w:val="none" w:sz="0" w:space="0" w:color="auto"/>
        <w:right w:val="none" w:sz="0" w:space="0" w:color="auto"/>
      </w:divBdr>
    </w:div>
    <w:div w:id="2061246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deausupply.com/fr/2246-2/" TargetMode="Externa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image" Target="cid:image003.png@01DB9C99.54F2A8C0"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khanna\AppData\Local\Microsoft\Windows\INetCache\Content.Outlook\1CQW4FLN\Fiscal%202023%202024%20Invoic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[Fiscal 2023 2024 Invoices.xlsx]Chart!PivotTable1</c:name>
    <c:fmtId val="-1"/>
  </c:pivotSource>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r-CA" b="1"/>
              <a:t>Achats de Rideau Supply par région (F25)</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effectLst>
                    <a:outerShdw blurRad="50800" dist="50800" dir="5400000" sx="4000" sy="4000" algn="ctr" rotWithShape="0">
                      <a:srgbClr val="000000">
                        <a:alpha val="43137"/>
                      </a:srgbClr>
                    </a:outerShdw>
                  </a:effectLst>
                  <a:latin typeface="+mn-lt"/>
                  <a:ea typeface="+mn-ea"/>
                  <a:cs typeface="+mn-cs"/>
                </a:defRPr>
              </a:pPr>
              <a:endParaRPr lang="en-US"/>
            </a:p>
          </c:txPr>
          <c:showLegendKey val="1"/>
          <c:showVal val="0"/>
          <c:showCatName val="0"/>
          <c:showSerName val="0"/>
          <c:showPercent val="1"/>
          <c:showBubbleSize val="0"/>
          <c:extLst>
            <c:ext xmlns:c15="http://schemas.microsoft.com/office/drawing/2012/chart" uri="{CE6537A1-D6FC-4f65-9D91-7224C49458BB}"/>
          </c:extLst>
        </c:dLbl>
      </c:pivotFmt>
      <c:pivotFmt>
        <c:idx val="1"/>
        <c:spPr>
          <a:solidFill>
            <a:srgbClr val="FF0000"/>
          </a:solidFill>
          <a:ln>
            <a:noFill/>
          </a:ln>
          <a:effectLst/>
        </c:spPr>
      </c:pivotFmt>
      <c:pivotFmt>
        <c:idx val="2"/>
        <c:spPr>
          <a:solidFill>
            <a:schemeClr val="accent1"/>
          </a:solidFill>
          <a:ln>
            <a:noFill/>
          </a:ln>
          <a:effectLst/>
        </c:spPr>
      </c:pivotFmt>
      <c:pivotFmt>
        <c:idx val="3"/>
        <c:spPr>
          <a:solidFill>
            <a:schemeClr val="accent1"/>
          </a:solidFill>
          <a:ln>
            <a:noFill/>
          </a:ln>
          <a:effectLst/>
        </c:spPr>
      </c:pivotFmt>
      <c:pivotFmt>
        <c:idx val="4"/>
        <c:spPr>
          <a:solidFill>
            <a:schemeClr val="accent1"/>
          </a:solidFill>
          <a:ln>
            <a:noFill/>
          </a:ln>
          <a:effectLst/>
        </c:spPr>
      </c:pivotFmt>
      <c:pivotFmt>
        <c:idx val="5"/>
        <c:spPr>
          <a:solidFill>
            <a:schemeClr val="accent1"/>
          </a:solidFill>
          <a:ln>
            <a:noFill/>
          </a:ln>
          <a:effectLst/>
        </c:spPr>
      </c:pivotFmt>
      <c:pivotFmt>
        <c:idx val="6"/>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effectLst>
                    <a:outerShdw blurRad="50800" dist="50800" dir="5400000" sx="4000" sy="4000" algn="ctr" rotWithShape="0">
                      <a:srgbClr val="000000">
                        <a:alpha val="43137"/>
                      </a:srgbClr>
                    </a:outerShdw>
                  </a:effectLst>
                  <a:latin typeface="+mn-lt"/>
                  <a:ea typeface="+mn-ea"/>
                  <a:cs typeface="+mn-cs"/>
                </a:defRPr>
              </a:pPr>
              <a:endParaRPr lang="en-US"/>
            </a:p>
          </c:txPr>
          <c:showLegendKey val="1"/>
          <c:showVal val="0"/>
          <c:showCatName val="0"/>
          <c:showSerName val="0"/>
          <c:showPercent val="1"/>
          <c:showBubbleSize val="0"/>
          <c:extLst>
            <c:ext xmlns:c15="http://schemas.microsoft.com/office/drawing/2012/chart" uri="{CE6537A1-D6FC-4f65-9D91-7224C49458BB}"/>
          </c:extLst>
        </c:dLbl>
      </c:pivotFmt>
      <c:pivotFmt>
        <c:idx val="7"/>
        <c:spPr>
          <a:solidFill>
            <a:srgbClr val="FF0000"/>
          </a:solidFill>
          <a:ln>
            <a:noFill/>
          </a:ln>
          <a:effectLst/>
        </c:spPr>
      </c:pivotFmt>
      <c:pivotFmt>
        <c:idx val="8"/>
        <c:spPr>
          <a:solidFill>
            <a:schemeClr val="accent1"/>
          </a:solidFill>
          <a:ln>
            <a:noFill/>
          </a:ln>
          <a:effectLst/>
        </c:spPr>
      </c:pivotFmt>
      <c:pivotFmt>
        <c:idx val="9"/>
        <c:spPr>
          <a:solidFill>
            <a:schemeClr val="accent1"/>
          </a:solidFill>
          <a:ln>
            <a:noFill/>
          </a:ln>
          <a:effectLst/>
        </c:spPr>
      </c:pivotFmt>
      <c:pivotFmt>
        <c:idx val="10"/>
        <c:spPr>
          <a:solidFill>
            <a:schemeClr val="accent1"/>
          </a:solidFill>
          <a:ln>
            <a:noFill/>
          </a:ln>
          <a:effectLst/>
        </c:spPr>
        <c:marker>
          <c:symbol val="none"/>
        </c:marker>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effectLst>
                    <a:outerShdw blurRad="50800" dist="50800" dir="5400000" sx="4000" sy="4000" algn="ctr" rotWithShape="0">
                      <a:srgbClr val="000000">
                        <a:alpha val="43137"/>
                      </a:srgbClr>
                    </a:outerShdw>
                  </a:effectLst>
                  <a:latin typeface="+mn-lt"/>
                  <a:ea typeface="+mn-ea"/>
                  <a:cs typeface="+mn-cs"/>
                </a:defRPr>
              </a:pPr>
              <a:endParaRPr lang="en-US"/>
            </a:p>
          </c:txPr>
          <c:showLegendKey val="1"/>
          <c:showVal val="0"/>
          <c:showCatName val="0"/>
          <c:showSerName val="0"/>
          <c:showPercent val="1"/>
          <c:showBubbleSize val="0"/>
          <c:extLst>
            <c:ext xmlns:c15="http://schemas.microsoft.com/office/drawing/2012/chart" uri="{CE6537A1-D6FC-4f65-9D91-7224C49458BB}"/>
          </c:extLst>
        </c:dLbl>
      </c:pivotFmt>
      <c:pivotFmt>
        <c:idx val="11"/>
        <c:spPr>
          <a:solidFill>
            <a:srgbClr val="FF0000"/>
          </a:solidFill>
          <a:ln>
            <a:noFill/>
          </a:ln>
          <a:effectLst/>
        </c:spPr>
      </c:pivotFmt>
      <c:pivotFmt>
        <c:idx val="12"/>
        <c:spPr>
          <a:solidFill>
            <a:schemeClr val="accent1"/>
          </a:solidFill>
          <a:ln>
            <a:noFill/>
          </a:ln>
          <a:effectLst/>
        </c:spPr>
      </c:pivotFmt>
      <c:pivotFmt>
        <c:idx val="13"/>
        <c:spPr>
          <a:solidFill>
            <a:schemeClr val="accent1"/>
          </a:solidFill>
          <a:ln>
            <a:noFill/>
          </a:ln>
          <a:effectLst/>
        </c:spPr>
      </c:pivotFmt>
    </c:pivotFmts>
    <c:plotArea>
      <c:layout/>
      <c:pieChart>
        <c:varyColors val="1"/>
        <c:ser>
          <c:idx val="0"/>
          <c:order val="0"/>
          <c:tx>
            <c:strRef>
              <c:f>Chart!$B$1</c:f>
              <c:strCache>
                <c:ptCount val="1"/>
                <c:pt idx="0">
                  <c:v>Total</c:v>
                </c:pt>
              </c:strCache>
            </c:strRef>
          </c:tx>
          <c:dPt>
            <c:idx val="0"/>
            <c:bubble3D val="0"/>
            <c:spPr>
              <a:solidFill>
                <a:srgbClr val="FF0000"/>
              </a:solidFill>
              <a:ln>
                <a:noFill/>
              </a:ln>
              <a:effectLst/>
            </c:spPr>
            <c:extLst>
              <c:ext xmlns:c16="http://schemas.microsoft.com/office/drawing/2014/chart" uri="{C3380CC4-5D6E-409C-BE32-E72D297353CC}">
                <c16:uniqueId val="{00000001-4C7F-4BA0-B597-21043B6B6E39}"/>
              </c:ext>
            </c:extLst>
          </c:dPt>
          <c:dPt>
            <c:idx val="1"/>
            <c:bubble3D val="0"/>
            <c:spPr>
              <a:solidFill>
                <a:schemeClr val="accent1"/>
              </a:solidFill>
              <a:ln>
                <a:noFill/>
              </a:ln>
              <a:effectLst/>
            </c:spPr>
            <c:extLst>
              <c:ext xmlns:c16="http://schemas.microsoft.com/office/drawing/2014/chart" uri="{C3380CC4-5D6E-409C-BE32-E72D297353CC}">
                <c16:uniqueId val="{00000003-4C7F-4BA0-B597-21043B6B6E39}"/>
              </c:ext>
            </c:extLst>
          </c:dPt>
          <c:dPt>
            <c:idx val="2"/>
            <c:bubble3D val="0"/>
            <c:spPr>
              <a:solidFill>
                <a:schemeClr val="accent3"/>
              </a:solidFill>
              <a:ln>
                <a:noFill/>
              </a:ln>
              <a:effectLst/>
            </c:spPr>
            <c:extLst>
              <c:ext xmlns:c16="http://schemas.microsoft.com/office/drawing/2014/chart" uri="{C3380CC4-5D6E-409C-BE32-E72D297353CC}">
                <c16:uniqueId val="{00000005-4C7F-4BA0-B597-21043B6B6E39}"/>
              </c:ext>
            </c:extLst>
          </c:dPt>
          <c:dPt>
            <c:idx val="3"/>
            <c:bubble3D val="0"/>
            <c:spPr>
              <a:solidFill>
                <a:schemeClr val="accent4"/>
              </a:solidFill>
              <a:ln>
                <a:noFill/>
              </a:ln>
              <a:effectLst/>
            </c:spPr>
            <c:extLst>
              <c:ext xmlns:c16="http://schemas.microsoft.com/office/drawing/2014/chart" uri="{C3380CC4-5D6E-409C-BE32-E72D297353CC}">
                <c16:uniqueId val="{00000007-4C7F-4BA0-B597-21043B6B6E39}"/>
              </c:ext>
            </c:extLst>
          </c:dPt>
          <c:dLbls>
            <c:dLbl>
              <c:idx val="0"/>
              <c:tx>
                <c:rich>
                  <a:bodyPr/>
                  <a:lstStyle/>
                  <a:p>
                    <a:r>
                      <a:rPr lang="en-US"/>
                      <a:t>90.2%</a:t>
                    </a:r>
                  </a:p>
                </c:rich>
              </c:tx>
              <c:showLegendKey val="1"/>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C7F-4BA0-B597-21043B6B6E39}"/>
                </c:ext>
              </c:extLst>
            </c:dLbl>
            <c:dLbl>
              <c:idx val="1"/>
              <c:tx>
                <c:rich>
                  <a:bodyPr/>
                  <a:lstStyle/>
                  <a:p>
                    <a:r>
                      <a:rPr lang="en-US"/>
                      <a:t>9%</a:t>
                    </a:r>
                  </a:p>
                </c:rich>
              </c:tx>
              <c:showLegendKey val="1"/>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C7F-4BA0-B597-21043B6B6E39}"/>
                </c:ext>
              </c:extLst>
            </c:dLbl>
            <c:dLbl>
              <c:idx val="2"/>
              <c:tx>
                <c:rich>
                  <a:bodyPr/>
                  <a:lstStyle/>
                  <a:p>
                    <a:r>
                      <a:rPr lang="en-US"/>
                      <a:t>0.8%</a:t>
                    </a:r>
                  </a:p>
                </c:rich>
              </c:tx>
              <c:showLegendKey val="1"/>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4C7F-4BA0-B597-21043B6B6E39}"/>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effectLst>
                      <a:outerShdw blurRad="50800" dist="50800" dir="5400000" sx="4000" sy="4000" algn="ctr" rotWithShape="0">
                        <a:srgbClr val="000000">
                          <a:alpha val="43137"/>
                        </a:srgbClr>
                      </a:outerShdw>
                    </a:effectLst>
                    <a:latin typeface="+mn-lt"/>
                    <a:ea typeface="+mn-ea"/>
                    <a:cs typeface="+mn-cs"/>
                  </a:defRPr>
                </a:pPr>
                <a:endParaRPr lang="en-US"/>
              </a:p>
            </c:txPr>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Chart!$A$2:$A$5</c:f>
              <c:strCache>
                <c:ptCount val="3"/>
                <c:pt idx="0">
                  <c:v>CANADA</c:v>
                </c:pt>
                <c:pt idx="1">
                  <c:v>USA</c:v>
                </c:pt>
                <c:pt idx="2">
                  <c:v>OTHER</c:v>
                </c:pt>
              </c:strCache>
            </c:strRef>
          </c:cat>
          <c:val>
            <c:numRef>
              <c:f>Chart!$B$2:$B$5</c:f>
              <c:numCache>
                <c:formatCode>_("$"* #,##0.00_);_("$"* \(#,##0.00\);_("$"* "-"??_);_(@_)</c:formatCode>
                <c:ptCount val="3"/>
                <c:pt idx="0">
                  <c:v>58144023.233809106</c:v>
                </c:pt>
                <c:pt idx="1">
                  <c:v>5476947.5041970285</c:v>
                </c:pt>
                <c:pt idx="2">
                  <c:v>349159.83385532902</c:v>
                </c:pt>
              </c:numCache>
            </c:numRef>
          </c:val>
          <c:extLst>
            <c:ext xmlns:c16="http://schemas.microsoft.com/office/drawing/2014/chart" uri="{C3380CC4-5D6E-409C-BE32-E72D297353CC}">
              <c16:uniqueId val="{00000008-4C7F-4BA0-B597-21043B6B6E3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87E2D9C3F7D14EAEA05408473A6D4C" ma:contentTypeVersion="16" ma:contentTypeDescription="Create a new document." ma:contentTypeScope="" ma:versionID="d99f97105adbac2ad239094cfd555521">
  <xsd:schema xmlns:xsd="http://www.w3.org/2001/XMLSchema" xmlns:xs="http://www.w3.org/2001/XMLSchema" xmlns:p="http://schemas.microsoft.com/office/2006/metadata/properties" xmlns:ns2="1708b9f3-c4b7-482e-94ef-8982a9a2bcba" xmlns:ns3="7aa82f09-786c-4cae-a007-1870182f577e" targetNamespace="http://schemas.microsoft.com/office/2006/metadata/properties" ma:root="true" ma:fieldsID="c9bcf89f19a2d97ff52198d2ff684540" ns2:_="" ns3:_="">
    <xsd:import namespace="1708b9f3-c4b7-482e-94ef-8982a9a2bcba"/>
    <xsd:import namespace="7aa82f09-786c-4cae-a007-1870182f57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Review"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8b9f3-c4b7-482e-94ef-8982a9a2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3c7208-e590-4f68-b22c-5443f0aac8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Review" ma:index="22" nillable="true" ma:displayName="Review" ma:format="Dropdown" ma:internalName="Review">
      <xsd:simpleType>
        <xsd:restriction base="dms:Choice">
          <xsd:enumeration value="Yes"/>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82f09-786c-4cae-a007-1870182f57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d9c91d0-a954-4c18-bb39-15dd824be8ce}" ma:internalName="TaxCatchAll" ma:showField="CatchAllData" ma:web="7aa82f09-786c-4cae-a007-1870182f5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a82f09-786c-4cae-a007-1870182f577e" xsi:nil="true"/>
    <lcf76f155ced4ddcb4097134ff3c332f xmlns="1708b9f3-c4b7-482e-94ef-8982a9a2bcba">
      <Terms xmlns="http://schemas.microsoft.com/office/infopath/2007/PartnerControls"/>
    </lcf76f155ced4ddcb4097134ff3c332f>
    <Review xmlns="1708b9f3-c4b7-482e-94ef-8982a9a2bcba" xsi:nil="true"/>
  </documentManagement>
</p:properties>
</file>

<file path=customXml/itemProps1.xml><?xml version="1.0" encoding="utf-8"?>
<ds:datastoreItem xmlns:ds="http://schemas.openxmlformats.org/officeDocument/2006/customXml" ds:itemID="{300B5581-4ECD-4E7F-A044-97AC75EEE760}">
  <ds:schemaRefs>
    <ds:schemaRef ds:uri="http://schemas.microsoft.com/sharepoint/v3/contenttype/forms"/>
  </ds:schemaRefs>
</ds:datastoreItem>
</file>

<file path=customXml/itemProps2.xml><?xml version="1.0" encoding="utf-8"?>
<ds:datastoreItem xmlns:ds="http://schemas.openxmlformats.org/officeDocument/2006/customXml" ds:itemID="{56B18DC4-2B54-4A12-92B2-6871CE594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8b9f3-c4b7-482e-94ef-8982a9a2bcba"/>
    <ds:schemaRef ds:uri="7aa82f09-786c-4cae-a007-1870182f5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12CE8-8ED8-4515-8C25-448503016E66}">
  <ds:schemaRefs>
    <ds:schemaRef ds:uri="http://schemas.microsoft.com/office/2006/metadata/properties"/>
    <ds:schemaRef ds:uri="http://schemas.microsoft.com/office/infopath/2007/PartnerControls"/>
    <ds:schemaRef ds:uri="7aa82f09-786c-4cae-a007-1870182f577e"/>
    <ds:schemaRef ds:uri="1708b9f3-c4b7-482e-94ef-8982a9a2bcb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1372</Words>
  <Characters>7810</Characters>
  <Application>Microsoft Office Word</Application>
  <DocSecurity>0</DocSecurity>
  <Lines>169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Schwarz</dc:creator>
  <cp:keywords>AllLanguages.com - Linguistic Services</cp:keywords>
  <dc:description>Visit Https://My.AllLangauges.com to place your next translation, transcription and/or copy editing request.</dc:description>
  <cp:lastModifiedBy>Jason Rogers</cp:lastModifiedBy>
  <cp:revision>3</cp:revision>
  <dcterms:created xsi:type="dcterms:W3CDTF">2026-05-29T19:35:00Z</dcterms:created>
  <dcterms:modified xsi:type="dcterms:W3CDTF">2026-05-29T19:36:00Z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2024-05-02T16:08:47Z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3330027f-bb61-43ed-b02a-793c5e29e26b</vt:lpwstr>
  </property>
  <property fmtid="{D5CDD505-2E9C-101B-9397-08002B2CF9AE}" pid="7" name="MSIP_Label_defa4170-0d19-0005-0004-bc88714345d2_ActionId">
    <vt:lpwstr>e7babb48-6df7-46bb-aece-7709c58d753d</vt:lpwstr>
  </property>
  <property fmtid="{D5CDD505-2E9C-101B-9397-08002B2CF9AE}" pid="8" name="MSIP_Label_defa4170-0d19-0005-0004-bc88714345d2_ContentBits">
    <vt:lpwstr>0</vt:lpwstr>
  </property>
  <property fmtid="{D5CDD505-2E9C-101B-9397-08002B2CF9AE}" pid="9" name="ContentTypeId">
    <vt:lpwstr>0x0101009687E2D9C3F7D14EAEA05408473A6D4C</vt:lpwstr>
  </property>
  <property fmtid="{D5CDD505-2E9C-101B-9397-08002B2CF9AE}" pid="10" name="MediaServiceImageTags">
    <vt:lpwstr/>
  </property>
</Properties>
</file>